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432899"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6A3FF6FF" wp14:editId="32F38362">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B56DAE" w:rsidP="0001104E">
            <w:pPr>
              <w:rPr>
                <w:rFonts w:cs="Arial"/>
                <w:szCs w:val="24"/>
              </w:rPr>
            </w:pPr>
            <w:r>
              <w:rPr>
                <w:rFonts w:cs="Arial"/>
                <w:szCs w:val="24"/>
              </w:rPr>
              <w:t>1</w:t>
            </w:r>
            <w:r w:rsidR="0001104E">
              <w:rPr>
                <w:rFonts w:cs="Arial"/>
                <w:szCs w:val="24"/>
              </w:rPr>
              <w:t>5</w:t>
            </w:r>
            <w:r w:rsidR="00105B2C">
              <w:rPr>
                <w:rFonts w:cs="Arial"/>
                <w:szCs w:val="24"/>
              </w:rPr>
              <w:t xml:space="preserve"> </w:t>
            </w:r>
            <w:r>
              <w:rPr>
                <w:rFonts w:cs="Arial"/>
                <w:szCs w:val="24"/>
              </w:rPr>
              <w:t>February</w:t>
            </w:r>
            <w:r w:rsidR="00105B2C">
              <w:rPr>
                <w:rFonts w:cs="Arial"/>
                <w:szCs w:val="24"/>
              </w:rPr>
              <w:t xml:space="preserve"> 20</w:t>
            </w:r>
            <w:r w:rsidR="00C90DB3">
              <w:rPr>
                <w:rFonts w:cs="Arial"/>
                <w:szCs w:val="24"/>
              </w:rPr>
              <w:t>1</w:t>
            </w:r>
            <w:r w:rsidR="0001104E">
              <w:rPr>
                <w:rFonts w:cs="Arial"/>
                <w:szCs w:val="24"/>
              </w:rPr>
              <w:t>8</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B56DAE" w:rsidP="0001104E">
            <w:pPr>
              <w:rPr>
                <w:rFonts w:cs="Arial"/>
                <w:szCs w:val="24"/>
              </w:rPr>
            </w:pPr>
            <w:r>
              <w:rPr>
                <w:rFonts w:cs="Arial"/>
                <w:szCs w:val="24"/>
              </w:rPr>
              <w:t xml:space="preserve">Final </w:t>
            </w:r>
            <w:r w:rsidR="00105B2C">
              <w:rPr>
                <w:rFonts w:cs="Arial"/>
                <w:szCs w:val="24"/>
              </w:rPr>
              <w:t xml:space="preserve"> Capital Programme 201</w:t>
            </w:r>
            <w:r w:rsidR="0001104E">
              <w:rPr>
                <w:rFonts w:cs="Arial"/>
                <w:szCs w:val="24"/>
              </w:rPr>
              <w:t>8</w:t>
            </w:r>
            <w:r w:rsidR="00105B2C">
              <w:rPr>
                <w:rFonts w:cs="Arial"/>
                <w:szCs w:val="24"/>
              </w:rPr>
              <w:t>/1</w:t>
            </w:r>
            <w:r w:rsidR="0001104E">
              <w:rPr>
                <w:rFonts w:cs="Arial"/>
                <w:szCs w:val="24"/>
              </w:rPr>
              <w:t>9</w:t>
            </w:r>
            <w:r w:rsidR="00105B2C">
              <w:rPr>
                <w:rFonts w:cs="Arial"/>
                <w:szCs w:val="24"/>
              </w:rPr>
              <w:t xml:space="preserve"> to 20</w:t>
            </w:r>
            <w:r w:rsidR="0001104E">
              <w:rPr>
                <w:rFonts w:cs="Arial"/>
                <w:szCs w:val="24"/>
              </w:rPr>
              <w:t>20</w:t>
            </w:r>
            <w:r w:rsidR="00105B2C">
              <w:rPr>
                <w:rFonts w:cs="Arial"/>
                <w:szCs w:val="24"/>
              </w:rPr>
              <w:t>/2</w:t>
            </w:r>
            <w:r w:rsidR="0001104E">
              <w:rPr>
                <w:rFonts w:cs="Arial"/>
                <w:szCs w:val="24"/>
              </w:rPr>
              <w:t>1</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Default="001C7E35" w:rsidP="001C7E35">
            <w:pPr>
              <w:pStyle w:val="Infotext"/>
              <w:rPr>
                <w:rFonts w:cs="Arial"/>
                <w:sz w:val="24"/>
                <w:szCs w:val="24"/>
              </w:rPr>
            </w:pPr>
            <w:r w:rsidRPr="005E3A10">
              <w:rPr>
                <w:rFonts w:cs="Arial"/>
                <w:sz w:val="24"/>
                <w:szCs w:val="24"/>
              </w:rPr>
              <w:t xml:space="preserve">Yes </w:t>
            </w:r>
          </w:p>
          <w:p w:rsidR="00105B2C" w:rsidRPr="005E3A10" w:rsidRDefault="00105B2C" w:rsidP="001C7E35">
            <w:pPr>
              <w:pStyle w:val="Infotext"/>
              <w:rPr>
                <w:rFonts w:cs="Arial"/>
                <w:sz w:val="24"/>
                <w:szCs w:val="24"/>
              </w:rPr>
            </w:pPr>
          </w:p>
          <w:p w:rsidR="00333FAA" w:rsidRPr="005E3A10" w:rsidRDefault="00333FAA" w:rsidP="00105B2C">
            <w:pPr>
              <w:pStyle w:val="Infotext"/>
              <w:rPr>
                <w:rFonts w:cs="Arial"/>
                <w:szCs w:val="24"/>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05B2C" w:rsidRDefault="00105B2C" w:rsidP="00D835CF">
            <w:pPr>
              <w:pStyle w:val="Infotext"/>
              <w:rPr>
                <w:rFonts w:cs="Arial"/>
                <w:sz w:val="24"/>
                <w:szCs w:val="24"/>
              </w:rPr>
            </w:pPr>
            <w:r>
              <w:rPr>
                <w:rFonts w:cs="Arial"/>
                <w:sz w:val="24"/>
                <w:szCs w:val="24"/>
              </w:rPr>
              <w:t>Dawn Calvert, Director of Finance</w:t>
            </w:r>
          </w:p>
          <w:p w:rsidR="001C7E35" w:rsidRPr="005E3A10" w:rsidRDefault="001C7E35" w:rsidP="00105B2C">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105B2C">
            <w:pPr>
              <w:pStyle w:val="Infotext"/>
              <w:rPr>
                <w:rFonts w:cs="Arial"/>
                <w:color w:val="FF0000"/>
                <w:sz w:val="24"/>
                <w:szCs w:val="24"/>
              </w:rPr>
            </w:pPr>
            <w:r w:rsidRPr="00105B2C">
              <w:rPr>
                <w:rFonts w:cs="Arial"/>
                <w:sz w:val="24"/>
                <w:szCs w:val="24"/>
              </w:rPr>
              <w:t xml:space="preserve">Councillor </w:t>
            </w:r>
            <w:r w:rsidR="00461E22" w:rsidRPr="00461E22">
              <w:rPr>
                <w:rFonts w:cs="Arial"/>
                <w:sz w:val="24"/>
                <w:szCs w:val="24"/>
              </w:rPr>
              <w:t xml:space="preserve">Adam Swersky, Portfolio Holder for Finance and Commercialisation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F50957" w:rsidP="00662DEC">
            <w:pPr>
              <w:pStyle w:val="Infotext"/>
              <w:spacing w:before="240"/>
              <w:rPr>
                <w:rFonts w:cs="Arial"/>
                <w:sz w:val="24"/>
                <w:szCs w:val="24"/>
              </w:rPr>
            </w:pPr>
            <w:r w:rsidRPr="008E3EF8">
              <w:rPr>
                <w:rFonts w:cs="Arial"/>
                <w:sz w:val="24"/>
                <w:szCs w:val="24"/>
              </w:rPr>
              <w:t>No,</w:t>
            </w:r>
            <w:r w:rsidRPr="008E3EF8">
              <w:rPr>
                <w:rFonts w:cs="Arial"/>
                <w:bCs/>
                <w:sz w:val="24"/>
                <w:szCs w:val="24"/>
              </w:rPr>
              <w:t xml:space="preserve"> except for Appendix </w:t>
            </w:r>
            <w:r>
              <w:rPr>
                <w:rFonts w:cs="Arial"/>
                <w:bCs/>
                <w:sz w:val="24"/>
                <w:szCs w:val="24"/>
              </w:rPr>
              <w:t>3</w:t>
            </w:r>
            <w:r w:rsidRPr="008E3EF8">
              <w:rPr>
                <w:rFonts w:cs="Arial"/>
                <w:bCs/>
                <w:sz w:val="24"/>
                <w:szCs w:val="24"/>
              </w:rPr>
              <w:t>,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r w:rsidR="002A0370">
              <w:rPr>
                <w:rFonts w:cs="Arial"/>
                <w:bCs/>
                <w:sz w:val="24"/>
                <w:szCs w:val="24"/>
              </w:rPr>
              <w:t>)</w:t>
            </w:r>
          </w:p>
          <w:p w:rsidR="001C7E35" w:rsidRPr="005E3A10" w:rsidRDefault="001C7E35" w:rsidP="00105B2C">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 xml:space="preserve">Yes </w:t>
            </w:r>
          </w:p>
          <w:p w:rsidR="00714BEE" w:rsidRPr="005E3A10" w:rsidRDefault="00714BEE" w:rsidP="00105B2C">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105B2C" w:rsidP="00D835CF">
            <w:pPr>
              <w:rPr>
                <w:rFonts w:cs="Arial"/>
                <w:szCs w:val="24"/>
              </w:rPr>
            </w:pPr>
            <w:r>
              <w:rPr>
                <w:rFonts w:cs="Arial"/>
                <w:szCs w:val="24"/>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05B2C" w:rsidRDefault="00105B2C" w:rsidP="00105B2C">
            <w:pPr>
              <w:pStyle w:val="Infotext"/>
              <w:rPr>
                <w:rFonts w:cs="Arial"/>
                <w:sz w:val="24"/>
                <w:szCs w:val="24"/>
              </w:rPr>
            </w:pPr>
            <w:r w:rsidRPr="00105B2C">
              <w:rPr>
                <w:rFonts w:cs="Arial"/>
                <w:sz w:val="24"/>
                <w:szCs w:val="24"/>
              </w:rPr>
              <w:t xml:space="preserve">Appendix 1 – </w:t>
            </w:r>
            <w:r w:rsidR="00461E22">
              <w:rPr>
                <w:rFonts w:cs="Arial"/>
                <w:sz w:val="24"/>
                <w:szCs w:val="24"/>
              </w:rPr>
              <w:t xml:space="preserve"> Proposed </w:t>
            </w:r>
            <w:r w:rsidR="003532AB">
              <w:rPr>
                <w:rFonts w:cs="Arial"/>
                <w:sz w:val="24"/>
                <w:szCs w:val="24"/>
              </w:rPr>
              <w:t xml:space="preserve"> </w:t>
            </w:r>
            <w:r w:rsidR="00461E22">
              <w:rPr>
                <w:rFonts w:cs="Arial"/>
                <w:sz w:val="24"/>
                <w:szCs w:val="24"/>
              </w:rPr>
              <w:t>Capital</w:t>
            </w:r>
            <w:r w:rsidRPr="00105B2C">
              <w:rPr>
                <w:rFonts w:cs="Arial"/>
                <w:sz w:val="24"/>
                <w:szCs w:val="24"/>
              </w:rPr>
              <w:t xml:space="preserve"> Programme</w:t>
            </w:r>
            <w:r w:rsidR="00E23647">
              <w:rPr>
                <w:rFonts w:cs="Arial"/>
                <w:sz w:val="24"/>
                <w:szCs w:val="24"/>
              </w:rPr>
              <w:t xml:space="preserve"> 201</w:t>
            </w:r>
            <w:r w:rsidR="0001104E">
              <w:rPr>
                <w:rFonts w:cs="Arial"/>
                <w:sz w:val="24"/>
                <w:szCs w:val="24"/>
              </w:rPr>
              <w:t>8</w:t>
            </w:r>
            <w:r w:rsidR="00E23647">
              <w:rPr>
                <w:rFonts w:cs="Arial"/>
                <w:sz w:val="24"/>
                <w:szCs w:val="24"/>
              </w:rPr>
              <w:t>/1</w:t>
            </w:r>
            <w:r w:rsidR="0001104E">
              <w:rPr>
                <w:rFonts w:cs="Arial"/>
                <w:sz w:val="24"/>
                <w:szCs w:val="24"/>
              </w:rPr>
              <w:t>9</w:t>
            </w:r>
            <w:r w:rsidR="00E23647">
              <w:rPr>
                <w:rFonts w:cs="Arial"/>
                <w:sz w:val="24"/>
                <w:szCs w:val="24"/>
              </w:rPr>
              <w:t xml:space="preserve"> to 20</w:t>
            </w:r>
            <w:r w:rsidR="0001104E">
              <w:rPr>
                <w:rFonts w:cs="Arial"/>
                <w:sz w:val="24"/>
                <w:szCs w:val="24"/>
              </w:rPr>
              <w:t>20</w:t>
            </w:r>
            <w:r w:rsidR="00E23647">
              <w:rPr>
                <w:rFonts w:cs="Arial"/>
                <w:sz w:val="24"/>
                <w:szCs w:val="24"/>
              </w:rPr>
              <w:t>/2</w:t>
            </w:r>
            <w:r w:rsidR="0001104E">
              <w:rPr>
                <w:rFonts w:cs="Arial"/>
                <w:sz w:val="24"/>
                <w:szCs w:val="24"/>
              </w:rPr>
              <w:t>1</w:t>
            </w:r>
          </w:p>
          <w:p w:rsidR="00E23647" w:rsidRPr="00105B2C" w:rsidRDefault="00E23647" w:rsidP="00105B2C">
            <w:pPr>
              <w:pStyle w:val="Infotext"/>
              <w:rPr>
                <w:rFonts w:cs="Arial"/>
                <w:sz w:val="24"/>
                <w:szCs w:val="24"/>
              </w:rPr>
            </w:pPr>
          </w:p>
          <w:p w:rsidR="009F6126" w:rsidRDefault="00105B2C" w:rsidP="00105B2C">
            <w:pPr>
              <w:pStyle w:val="Infotext"/>
              <w:rPr>
                <w:rFonts w:cs="Arial"/>
                <w:sz w:val="24"/>
                <w:szCs w:val="24"/>
              </w:rPr>
            </w:pPr>
            <w:r w:rsidRPr="00105B2C">
              <w:rPr>
                <w:rFonts w:cs="Arial"/>
                <w:sz w:val="24"/>
                <w:szCs w:val="24"/>
              </w:rPr>
              <w:t xml:space="preserve">Appendix 2 – </w:t>
            </w:r>
            <w:r w:rsidR="00A64DDF">
              <w:rPr>
                <w:rFonts w:cs="Arial"/>
                <w:sz w:val="24"/>
                <w:szCs w:val="24"/>
              </w:rPr>
              <w:t xml:space="preserve">New capital additions (included within Appendix 1) </w:t>
            </w:r>
            <w:r w:rsidR="003532AB">
              <w:rPr>
                <w:rFonts w:cs="Arial"/>
                <w:sz w:val="24"/>
                <w:szCs w:val="24"/>
              </w:rPr>
              <w:t>201</w:t>
            </w:r>
            <w:r w:rsidR="0001104E">
              <w:rPr>
                <w:rFonts w:cs="Arial"/>
                <w:sz w:val="24"/>
                <w:szCs w:val="24"/>
              </w:rPr>
              <w:t>8</w:t>
            </w:r>
            <w:r w:rsidR="003532AB">
              <w:rPr>
                <w:rFonts w:cs="Arial"/>
                <w:sz w:val="24"/>
                <w:szCs w:val="24"/>
              </w:rPr>
              <w:t>/1</w:t>
            </w:r>
            <w:r w:rsidR="0001104E">
              <w:rPr>
                <w:rFonts w:cs="Arial"/>
                <w:sz w:val="24"/>
                <w:szCs w:val="24"/>
              </w:rPr>
              <w:t>9</w:t>
            </w:r>
            <w:r w:rsidR="003532AB">
              <w:rPr>
                <w:rFonts w:cs="Arial"/>
                <w:sz w:val="24"/>
                <w:szCs w:val="24"/>
              </w:rPr>
              <w:t xml:space="preserve"> to </w:t>
            </w:r>
            <w:r w:rsidR="00FA1D36">
              <w:rPr>
                <w:rFonts w:cs="Arial"/>
                <w:sz w:val="24"/>
                <w:szCs w:val="24"/>
              </w:rPr>
              <w:t xml:space="preserve"> 20</w:t>
            </w:r>
            <w:r w:rsidR="0001104E">
              <w:rPr>
                <w:rFonts w:cs="Arial"/>
                <w:sz w:val="24"/>
                <w:szCs w:val="24"/>
              </w:rPr>
              <w:t>20</w:t>
            </w:r>
            <w:r w:rsidR="00FA1D36">
              <w:rPr>
                <w:rFonts w:cs="Arial"/>
                <w:sz w:val="24"/>
                <w:szCs w:val="24"/>
              </w:rPr>
              <w:t>/2</w:t>
            </w:r>
            <w:r w:rsidR="0001104E">
              <w:rPr>
                <w:rFonts w:cs="Arial"/>
                <w:sz w:val="24"/>
                <w:szCs w:val="24"/>
              </w:rPr>
              <w:t>1</w:t>
            </w:r>
          </w:p>
          <w:p w:rsidR="009F6126" w:rsidRDefault="009F6126" w:rsidP="00105B2C">
            <w:pPr>
              <w:pStyle w:val="Infotext"/>
              <w:rPr>
                <w:rFonts w:cs="Arial"/>
                <w:sz w:val="24"/>
                <w:szCs w:val="24"/>
              </w:rPr>
            </w:pPr>
          </w:p>
          <w:p w:rsidR="005B32A5" w:rsidRPr="0010784E" w:rsidRDefault="009F6126" w:rsidP="00105B2C">
            <w:pPr>
              <w:pStyle w:val="Infotext"/>
              <w:rPr>
                <w:rFonts w:cs="Arial"/>
                <w:sz w:val="24"/>
                <w:szCs w:val="24"/>
              </w:rPr>
            </w:pPr>
            <w:r>
              <w:rPr>
                <w:rFonts w:cs="Arial"/>
                <w:sz w:val="24"/>
                <w:szCs w:val="24"/>
              </w:rPr>
              <w:t xml:space="preserve">Appendix 3 – Regeneration Programme by </w:t>
            </w:r>
            <w:r w:rsidRPr="00164551">
              <w:rPr>
                <w:rFonts w:cs="Arial"/>
                <w:sz w:val="24"/>
                <w:szCs w:val="24"/>
              </w:rPr>
              <w:t>Scheme</w:t>
            </w:r>
            <w:r w:rsidRPr="000625D7">
              <w:rPr>
                <w:rFonts w:cs="Arial"/>
                <w:i/>
                <w:sz w:val="24"/>
                <w:szCs w:val="24"/>
              </w:rPr>
              <w:t xml:space="preserve"> </w:t>
            </w:r>
            <w:r w:rsidR="0010784E">
              <w:rPr>
                <w:rFonts w:cs="Arial"/>
                <w:i/>
                <w:sz w:val="24"/>
                <w:szCs w:val="24"/>
              </w:rPr>
              <w:t xml:space="preserve">- </w:t>
            </w:r>
            <w:bookmarkStart w:id="0" w:name="_GoBack"/>
            <w:r w:rsidR="0010784E" w:rsidRPr="0010784E">
              <w:rPr>
                <w:rFonts w:cs="Arial"/>
                <w:sz w:val="24"/>
                <w:szCs w:val="24"/>
              </w:rPr>
              <w:t>Exempt</w:t>
            </w:r>
          </w:p>
          <w:bookmarkEnd w:id="0"/>
          <w:p w:rsidR="00D27997" w:rsidRPr="005E3A10" w:rsidRDefault="00D27997" w:rsidP="00105B2C">
            <w:pPr>
              <w:pStyle w:val="Infotext"/>
              <w:rPr>
                <w:color w:val="FF0000"/>
                <w:sz w:val="24"/>
                <w:szCs w:val="24"/>
              </w:rPr>
            </w:pPr>
          </w:p>
        </w:tc>
      </w:tr>
    </w:tbl>
    <w:p w:rsidR="00B57442" w:rsidRDefault="00B57442" w:rsidP="00333FAA">
      <w:pPr>
        <w:rPr>
          <w:rFonts w:cs="Arial"/>
        </w:rPr>
      </w:pPr>
    </w:p>
    <w:p w:rsidR="00B57442" w:rsidRDefault="00B57442"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05B2C" w:rsidRPr="00830C10" w:rsidRDefault="00105B2C" w:rsidP="00105B2C">
            <w:pPr>
              <w:rPr>
                <w:color w:val="0000FF"/>
              </w:rPr>
            </w:pPr>
            <w:r w:rsidRPr="00830C10">
              <w:rPr>
                <w:rFonts w:cs="Arial"/>
                <w:szCs w:val="24"/>
              </w:rPr>
              <w:t xml:space="preserve">This report sets out the </w:t>
            </w:r>
            <w:r w:rsidR="00A64DDF">
              <w:rPr>
                <w:rFonts w:cs="Arial"/>
                <w:szCs w:val="24"/>
              </w:rPr>
              <w:t>proposed C</w:t>
            </w:r>
            <w:r w:rsidR="00B57442">
              <w:rPr>
                <w:rFonts w:cs="Arial"/>
                <w:szCs w:val="24"/>
              </w:rPr>
              <w:t xml:space="preserve">apital </w:t>
            </w:r>
            <w:r w:rsidR="009D4BC8">
              <w:rPr>
                <w:rFonts w:cs="Arial"/>
                <w:szCs w:val="24"/>
              </w:rPr>
              <w:t>programme</w:t>
            </w:r>
            <w:r w:rsidR="00A64DDF">
              <w:rPr>
                <w:rFonts w:cs="Arial"/>
                <w:szCs w:val="24"/>
              </w:rPr>
              <w:t xml:space="preserve"> for </w:t>
            </w:r>
            <w:r w:rsidR="00EB6285">
              <w:rPr>
                <w:rFonts w:cs="Arial"/>
                <w:szCs w:val="24"/>
              </w:rPr>
              <w:t xml:space="preserve">the financial years </w:t>
            </w:r>
            <w:r w:rsidR="00A64DDF">
              <w:rPr>
                <w:rFonts w:cs="Arial"/>
                <w:szCs w:val="24"/>
              </w:rPr>
              <w:t>201</w:t>
            </w:r>
            <w:r w:rsidR="004F2F74">
              <w:rPr>
                <w:rFonts w:cs="Arial"/>
                <w:szCs w:val="24"/>
              </w:rPr>
              <w:t>8</w:t>
            </w:r>
            <w:r w:rsidR="00A64DDF">
              <w:rPr>
                <w:rFonts w:cs="Arial"/>
                <w:szCs w:val="24"/>
              </w:rPr>
              <w:t>/1</w:t>
            </w:r>
            <w:r w:rsidR="004F2F74">
              <w:rPr>
                <w:rFonts w:cs="Arial"/>
                <w:szCs w:val="24"/>
              </w:rPr>
              <w:t>9</w:t>
            </w:r>
            <w:r w:rsidR="00A64DDF">
              <w:rPr>
                <w:rFonts w:cs="Arial"/>
                <w:szCs w:val="24"/>
              </w:rPr>
              <w:t xml:space="preserve"> to 20</w:t>
            </w:r>
            <w:r w:rsidR="004F2F74">
              <w:rPr>
                <w:rFonts w:cs="Arial"/>
                <w:szCs w:val="24"/>
              </w:rPr>
              <w:t>20</w:t>
            </w:r>
            <w:r w:rsidR="00A64DDF">
              <w:rPr>
                <w:rFonts w:cs="Arial"/>
                <w:szCs w:val="24"/>
              </w:rPr>
              <w:t>/2</w:t>
            </w:r>
            <w:r w:rsidR="004F2F74">
              <w:rPr>
                <w:rFonts w:cs="Arial"/>
                <w:szCs w:val="24"/>
              </w:rPr>
              <w:t>1</w:t>
            </w:r>
            <w:r w:rsidR="005B7D2C">
              <w:rPr>
                <w:rFonts w:cs="Arial"/>
                <w:szCs w:val="24"/>
              </w:rPr>
              <w:t xml:space="preserve"> and provides an update on the Regeneration Programme.</w:t>
            </w:r>
          </w:p>
          <w:p w:rsidR="00105B2C" w:rsidRPr="00830C10" w:rsidRDefault="00105B2C" w:rsidP="00105B2C">
            <w:pPr>
              <w:pStyle w:val="Heading2"/>
            </w:pPr>
          </w:p>
          <w:p w:rsidR="00105B2C" w:rsidRPr="00830C10" w:rsidRDefault="00105B2C" w:rsidP="00105B2C">
            <w:pPr>
              <w:pStyle w:val="Heading2"/>
            </w:pPr>
            <w:r w:rsidRPr="00830C10">
              <w:t xml:space="preserve">Recommendations: </w:t>
            </w:r>
          </w:p>
          <w:p w:rsidR="009D4BC8" w:rsidRDefault="00105B2C" w:rsidP="00C64714">
            <w:pPr>
              <w:pStyle w:val="ListParagraph"/>
              <w:numPr>
                <w:ilvl w:val="0"/>
                <w:numId w:val="38"/>
              </w:numPr>
              <w:rPr>
                <w:rFonts w:cs="Arial"/>
                <w:szCs w:val="24"/>
              </w:rPr>
            </w:pPr>
            <w:r w:rsidRPr="00830C10">
              <w:t xml:space="preserve">Cabinet is requested </w:t>
            </w:r>
            <w:r w:rsidR="00A64DDF">
              <w:rPr>
                <w:rFonts w:cs="Arial"/>
                <w:szCs w:val="24"/>
              </w:rPr>
              <w:t xml:space="preserve"> to recommend the capital programme, as detailed within Appendix 1</w:t>
            </w:r>
            <w:r w:rsidRPr="009D4BC8">
              <w:rPr>
                <w:rFonts w:cs="Arial"/>
                <w:szCs w:val="24"/>
              </w:rPr>
              <w:t>,</w:t>
            </w:r>
            <w:r w:rsidR="00A64DDF">
              <w:rPr>
                <w:rFonts w:cs="Arial"/>
                <w:szCs w:val="24"/>
              </w:rPr>
              <w:t xml:space="preserve"> to Council for approval</w:t>
            </w:r>
            <w:r w:rsidRPr="009D4BC8">
              <w:rPr>
                <w:rFonts w:cs="Arial"/>
                <w:szCs w:val="24"/>
              </w:rPr>
              <w:t xml:space="preserve"> </w:t>
            </w:r>
          </w:p>
          <w:p w:rsidR="009D4BC8" w:rsidRDefault="009D4BC8" w:rsidP="00C64714">
            <w:pPr>
              <w:pStyle w:val="ListParagraph"/>
              <w:rPr>
                <w:rFonts w:cs="Arial"/>
                <w:szCs w:val="24"/>
              </w:rPr>
            </w:pPr>
          </w:p>
          <w:p w:rsidR="00333FAA" w:rsidRDefault="00105B2C" w:rsidP="00253BB4">
            <w:pPr>
              <w:pStyle w:val="Heading2"/>
            </w:pPr>
            <w:r w:rsidRPr="00830C10">
              <w:t xml:space="preserve">Reason:  </w:t>
            </w:r>
            <w:r w:rsidRPr="00830C10">
              <w:rPr>
                <w:b w:val="0"/>
                <w:sz w:val="24"/>
                <w:szCs w:val="24"/>
              </w:rPr>
              <w:t xml:space="preserve">To enable the Council to have an approved capital programme for </w:t>
            </w:r>
            <w:r w:rsidR="00EB6285">
              <w:rPr>
                <w:b w:val="0"/>
                <w:sz w:val="24"/>
                <w:szCs w:val="24"/>
              </w:rPr>
              <w:t xml:space="preserve">the period </w:t>
            </w:r>
            <w:r w:rsidRPr="00830C10">
              <w:rPr>
                <w:b w:val="0"/>
                <w:sz w:val="24"/>
                <w:szCs w:val="24"/>
              </w:rPr>
              <w:t>20</w:t>
            </w:r>
            <w:r>
              <w:rPr>
                <w:b w:val="0"/>
                <w:sz w:val="24"/>
                <w:szCs w:val="24"/>
              </w:rPr>
              <w:t>1</w:t>
            </w:r>
            <w:r w:rsidR="004F2F74">
              <w:rPr>
                <w:b w:val="0"/>
                <w:sz w:val="24"/>
                <w:szCs w:val="24"/>
              </w:rPr>
              <w:t>8</w:t>
            </w:r>
            <w:r w:rsidR="00B4220B">
              <w:rPr>
                <w:b w:val="0"/>
                <w:sz w:val="24"/>
                <w:szCs w:val="24"/>
              </w:rPr>
              <w:t>/1</w:t>
            </w:r>
            <w:r w:rsidR="004F2F74">
              <w:rPr>
                <w:b w:val="0"/>
                <w:sz w:val="24"/>
                <w:szCs w:val="24"/>
              </w:rPr>
              <w:t>9</w:t>
            </w:r>
            <w:r w:rsidRPr="00830C10">
              <w:rPr>
                <w:b w:val="0"/>
                <w:sz w:val="24"/>
                <w:szCs w:val="24"/>
              </w:rPr>
              <w:t xml:space="preserve"> </w:t>
            </w:r>
            <w:r>
              <w:rPr>
                <w:b w:val="0"/>
                <w:sz w:val="24"/>
                <w:szCs w:val="24"/>
              </w:rPr>
              <w:t>to 20</w:t>
            </w:r>
            <w:r w:rsidR="004F2F74">
              <w:rPr>
                <w:b w:val="0"/>
                <w:sz w:val="24"/>
                <w:szCs w:val="24"/>
              </w:rPr>
              <w:t>20</w:t>
            </w:r>
            <w:r>
              <w:rPr>
                <w:b w:val="0"/>
                <w:sz w:val="24"/>
                <w:szCs w:val="24"/>
              </w:rPr>
              <w:t>/</w:t>
            </w:r>
            <w:r w:rsidR="002478C4">
              <w:rPr>
                <w:b w:val="0"/>
                <w:sz w:val="24"/>
                <w:szCs w:val="24"/>
              </w:rPr>
              <w:t>2</w:t>
            </w:r>
            <w:r w:rsidR="004F2F74">
              <w:rPr>
                <w:b w:val="0"/>
                <w:sz w:val="24"/>
                <w:szCs w:val="24"/>
              </w:rPr>
              <w:t>1</w:t>
            </w:r>
            <w:r w:rsidR="003E097B">
              <w:rPr>
                <w:b w:val="0"/>
                <w:sz w:val="24"/>
                <w:szCs w:val="24"/>
              </w:rPr>
              <w:t>.</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5867D6" w:rsidRDefault="005867D6" w:rsidP="00105B2C">
      <w:pPr>
        <w:jc w:val="both"/>
        <w:rPr>
          <w:rFonts w:cs="Arial"/>
          <w:szCs w:val="24"/>
          <w:u w:val="single"/>
        </w:rPr>
      </w:pPr>
    </w:p>
    <w:p w:rsidR="00105B2C" w:rsidRPr="000C14C9" w:rsidRDefault="00105B2C" w:rsidP="005867D6">
      <w:pPr>
        <w:ind w:firstLine="567"/>
        <w:jc w:val="both"/>
        <w:rPr>
          <w:rFonts w:cs="Arial"/>
          <w:b/>
          <w:szCs w:val="24"/>
        </w:rPr>
      </w:pPr>
      <w:r w:rsidRPr="000C14C9">
        <w:rPr>
          <w:rFonts w:cs="Arial"/>
          <w:b/>
          <w:szCs w:val="24"/>
        </w:rPr>
        <w:t>Development of the Capital Programme</w:t>
      </w:r>
    </w:p>
    <w:p w:rsidR="00A64DDF" w:rsidRDefault="0008612D" w:rsidP="00FF590B">
      <w:pPr>
        <w:numPr>
          <w:ilvl w:val="0"/>
          <w:numId w:val="27"/>
        </w:numPr>
        <w:tabs>
          <w:tab w:val="clear" w:pos="360"/>
          <w:tab w:val="num" w:pos="1276"/>
        </w:tabs>
        <w:spacing w:after="120"/>
        <w:ind w:left="567" w:hanging="567"/>
        <w:jc w:val="both"/>
        <w:rPr>
          <w:rFonts w:cs="Arial"/>
          <w:szCs w:val="24"/>
        </w:rPr>
      </w:pPr>
      <w:r w:rsidRPr="00B14937">
        <w:rPr>
          <w:rFonts w:cs="Arial"/>
          <w:szCs w:val="24"/>
        </w:rPr>
        <w:t>Th</w:t>
      </w:r>
      <w:r w:rsidR="00A64DDF">
        <w:rPr>
          <w:rFonts w:cs="Arial"/>
          <w:szCs w:val="24"/>
        </w:rPr>
        <w:t>is report sets out the Council’s proposals for Capital investment over the period 201</w:t>
      </w:r>
      <w:r w:rsidR="003841B3">
        <w:rPr>
          <w:rFonts w:cs="Arial"/>
          <w:szCs w:val="24"/>
        </w:rPr>
        <w:t>8</w:t>
      </w:r>
      <w:r w:rsidR="00A64DDF">
        <w:rPr>
          <w:rFonts w:cs="Arial"/>
          <w:szCs w:val="24"/>
        </w:rPr>
        <w:t>/</w:t>
      </w:r>
      <w:r w:rsidR="003841B3">
        <w:rPr>
          <w:rFonts w:cs="Arial"/>
          <w:szCs w:val="24"/>
        </w:rPr>
        <w:t>19</w:t>
      </w:r>
      <w:r w:rsidR="00A64DDF">
        <w:rPr>
          <w:rFonts w:cs="Arial"/>
          <w:szCs w:val="24"/>
        </w:rPr>
        <w:t xml:space="preserve"> to 20</w:t>
      </w:r>
      <w:r w:rsidR="003841B3">
        <w:rPr>
          <w:rFonts w:cs="Arial"/>
          <w:szCs w:val="24"/>
        </w:rPr>
        <w:t>20</w:t>
      </w:r>
      <w:r w:rsidR="00A64DDF">
        <w:rPr>
          <w:rFonts w:cs="Arial"/>
          <w:szCs w:val="24"/>
        </w:rPr>
        <w:t>/2</w:t>
      </w:r>
      <w:r w:rsidR="003841B3">
        <w:rPr>
          <w:rFonts w:cs="Arial"/>
          <w:szCs w:val="24"/>
        </w:rPr>
        <w:t>1</w:t>
      </w:r>
      <w:r w:rsidR="00A64DDF">
        <w:rPr>
          <w:rFonts w:cs="Arial"/>
          <w:szCs w:val="24"/>
        </w:rPr>
        <w:t xml:space="preserve">.  These provide for very </w:t>
      </w:r>
      <w:r w:rsidR="007B7A26">
        <w:rPr>
          <w:rFonts w:cs="Arial"/>
          <w:szCs w:val="24"/>
        </w:rPr>
        <w:t>substantial investment</w:t>
      </w:r>
      <w:r w:rsidR="00A64DDF">
        <w:rPr>
          <w:rFonts w:cs="Arial"/>
          <w:szCs w:val="24"/>
        </w:rPr>
        <w:t xml:space="preserve"> over the next 3 years in the General fund and Housing Revenue Account.</w:t>
      </w:r>
    </w:p>
    <w:p w:rsidR="0008612D" w:rsidRPr="00B14937" w:rsidRDefault="00A64DDF" w:rsidP="00FF590B">
      <w:pPr>
        <w:numPr>
          <w:ilvl w:val="0"/>
          <w:numId w:val="27"/>
        </w:numPr>
        <w:tabs>
          <w:tab w:val="clear" w:pos="360"/>
          <w:tab w:val="num" w:pos="1276"/>
        </w:tabs>
        <w:spacing w:after="120"/>
        <w:ind w:left="567" w:hanging="567"/>
        <w:jc w:val="both"/>
        <w:rPr>
          <w:rFonts w:cs="Arial"/>
          <w:szCs w:val="24"/>
        </w:rPr>
      </w:pPr>
      <w:r>
        <w:rPr>
          <w:rFonts w:cs="Arial"/>
          <w:szCs w:val="24"/>
        </w:rPr>
        <w:t xml:space="preserve">The proposed Capital Programme has been prepared in the current climate of increased demand pressures and reduced external funding from Central Government. </w:t>
      </w:r>
    </w:p>
    <w:p w:rsidR="00105B2C" w:rsidRDefault="00105B2C" w:rsidP="00105B2C">
      <w:pPr>
        <w:numPr>
          <w:ilvl w:val="0"/>
          <w:numId w:val="27"/>
        </w:numPr>
        <w:tabs>
          <w:tab w:val="clear" w:pos="360"/>
          <w:tab w:val="num" w:pos="567"/>
          <w:tab w:val="num" w:pos="1985"/>
        </w:tabs>
        <w:ind w:left="567" w:hanging="567"/>
        <w:jc w:val="both"/>
        <w:rPr>
          <w:rFonts w:cs="Arial"/>
          <w:szCs w:val="24"/>
        </w:rPr>
      </w:pPr>
      <w:r w:rsidRPr="00DE6A36">
        <w:rPr>
          <w:rFonts w:cs="Arial"/>
          <w:szCs w:val="24"/>
        </w:rPr>
        <w:t>Service directorates were invited to bid for capital resources, as part of their service proposals for 201</w:t>
      </w:r>
      <w:r w:rsidR="003841B3">
        <w:rPr>
          <w:rFonts w:cs="Arial"/>
          <w:szCs w:val="24"/>
        </w:rPr>
        <w:t>8</w:t>
      </w:r>
      <w:r w:rsidR="00D90A37" w:rsidRPr="00DE6A36">
        <w:rPr>
          <w:rFonts w:cs="Arial"/>
          <w:szCs w:val="24"/>
        </w:rPr>
        <w:t>/1</w:t>
      </w:r>
      <w:r w:rsidR="003841B3">
        <w:rPr>
          <w:rFonts w:cs="Arial"/>
          <w:szCs w:val="24"/>
        </w:rPr>
        <w:t>9</w:t>
      </w:r>
      <w:r w:rsidR="008916DC" w:rsidRPr="00DE6A36">
        <w:rPr>
          <w:rFonts w:cs="Arial"/>
          <w:szCs w:val="24"/>
        </w:rPr>
        <w:t xml:space="preserve"> to 20</w:t>
      </w:r>
      <w:r w:rsidR="003841B3">
        <w:rPr>
          <w:rFonts w:cs="Arial"/>
          <w:szCs w:val="24"/>
        </w:rPr>
        <w:t>20</w:t>
      </w:r>
      <w:r w:rsidRPr="00DE6A36">
        <w:rPr>
          <w:rFonts w:cs="Arial"/>
          <w:szCs w:val="24"/>
        </w:rPr>
        <w:t>/</w:t>
      </w:r>
      <w:r w:rsidR="008916DC" w:rsidRPr="00DE6A36">
        <w:rPr>
          <w:rFonts w:cs="Arial"/>
          <w:szCs w:val="24"/>
        </w:rPr>
        <w:t>2</w:t>
      </w:r>
      <w:r w:rsidR="003841B3">
        <w:rPr>
          <w:rFonts w:cs="Arial"/>
          <w:szCs w:val="24"/>
        </w:rPr>
        <w:t>1</w:t>
      </w:r>
      <w:r w:rsidRPr="00DE6A36">
        <w:rPr>
          <w:rFonts w:cs="Arial"/>
          <w:szCs w:val="24"/>
        </w:rPr>
        <w:t xml:space="preserve">.  The proposals were </w:t>
      </w:r>
      <w:r w:rsidR="00D90A37" w:rsidRPr="00DE6A36">
        <w:rPr>
          <w:rFonts w:cs="Arial"/>
          <w:szCs w:val="24"/>
        </w:rPr>
        <w:t>review</w:t>
      </w:r>
      <w:r w:rsidR="00DE6A36" w:rsidRPr="00DE6A36">
        <w:rPr>
          <w:rFonts w:cs="Arial"/>
          <w:szCs w:val="24"/>
        </w:rPr>
        <w:t>ed</w:t>
      </w:r>
      <w:r w:rsidRPr="00DE6A36">
        <w:rPr>
          <w:rFonts w:cs="Arial"/>
          <w:szCs w:val="24"/>
        </w:rPr>
        <w:t xml:space="preserve"> tak</w:t>
      </w:r>
      <w:r w:rsidR="00D90A37" w:rsidRPr="00DE6A36">
        <w:rPr>
          <w:rFonts w:cs="Arial"/>
          <w:szCs w:val="24"/>
        </w:rPr>
        <w:t>ing into</w:t>
      </w:r>
      <w:r w:rsidRPr="00DE6A36">
        <w:rPr>
          <w:rFonts w:cs="Arial"/>
          <w:szCs w:val="24"/>
        </w:rPr>
        <w:t xml:space="preserve"> account</w:t>
      </w:r>
      <w:r w:rsidR="00E21E6B" w:rsidRPr="00DE6A36">
        <w:rPr>
          <w:rFonts w:cs="Arial"/>
          <w:szCs w:val="24"/>
        </w:rPr>
        <w:t xml:space="preserve"> </w:t>
      </w:r>
      <w:r w:rsidR="00DE6A36" w:rsidRPr="00DE6A36">
        <w:rPr>
          <w:rFonts w:cs="Arial"/>
          <w:szCs w:val="24"/>
        </w:rPr>
        <w:t xml:space="preserve">the </w:t>
      </w:r>
      <w:r w:rsidR="0017619C" w:rsidRPr="00DE6A36">
        <w:rPr>
          <w:rFonts w:cs="Arial"/>
          <w:szCs w:val="24"/>
        </w:rPr>
        <w:t>council</w:t>
      </w:r>
      <w:r w:rsidR="00DE6A36" w:rsidRPr="00DE6A36">
        <w:rPr>
          <w:rFonts w:cs="Arial"/>
          <w:szCs w:val="24"/>
        </w:rPr>
        <w:t>’s</w:t>
      </w:r>
      <w:r w:rsidR="00E21E6B" w:rsidRPr="00DE6A36">
        <w:rPr>
          <w:rFonts w:cs="Arial"/>
          <w:szCs w:val="24"/>
        </w:rPr>
        <w:t xml:space="preserve"> strategic vision </w:t>
      </w:r>
      <w:r w:rsidR="00E21E6B" w:rsidRPr="007C49E5">
        <w:rPr>
          <w:rFonts w:cs="Arial"/>
          <w:szCs w:val="24"/>
        </w:rPr>
        <w:t>of “Working together to make a difference for Harrow”</w:t>
      </w:r>
      <w:r w:rsidR="00DE6A36" w:rsidRPr="007C49E5">
        <w:rPr>
          <w:rFonts w:cs="Arial"/>
          <w:szCs w:val="24"/>
        </w:rPr>
        <w:t xml:space="preserve">, the </w:t>
      </w:r>
      <w:r w:rsidR="00E21E6B" w:rsidRPr="00DE6A36">
        <w:rPr>
          <w:rFonts w:cs="Arial"/>
          <w:szCs w:val="24"/>
        </w:rPr>
        <w:t>C</w:t>
      </w:r>
      <w:r w:rsidR="0017619C" w:rsidRPr="00DE6A36">
        <w:rPr>
          <w:rFonts w:cs="Arial"/>
          <w:szCs w:val="24"/>
        </w:rPr>
        <w:t>ou</w:t>
      </w:r>
      <w:r w:rsidRPr="00DE6A36">
        <w:rPr>
          <w:rFonts w:cs="Arial"/>
          <w:szCs w:val="24"/>
        </w:rPr>
        <w:t>ncil</w:t>
      </w:r>
      <w:r w:rsidR="00DE6A36" w:rsidRPr="00DE6A36">
        <w:rPr>
          <w:rFonts w:cs="Arial"/>
          <w:szCs w:val="24"/>
        </w:rPr>
        <w:t>’s</w:t>
      </w:r>
      <w:r w:rsidRPr="00DE6A36">
        <w:rPr>
          <w:rFonts w:cs="Arial"/>
          <w:szCs w:val="24"/>
        </w:rPr>
        <w:t xml:space="preserve"> </w:t>
      </w:r>
      <w:r w:rsidR="00DE6A36" w:rsidRPr="00DE6A36">
        <w:rPr>
          <w:rFonts w:cs="Arial"/>
          <w:szCs w:val="24"/>
        </w:rPr>
        <w:t>p</w:t>
      </w:r>
      <w:r w:rsidRPr="00DE6A36">
        <w:rPr>
          <w:rFonts w:cs="Arial"/>
          <w:szCs w:val="24"/>
        </w:rPr>
        <w:t xml:space="preserve">riorities and equalities </w:t>
      </w:r>
      <w:r w:rsidR="00EB6285">
        <w:rPr>
          <w:rFonts w:cs="Arial"/>
          <w:szCs w:val="24"/>
        </w:rPr>
        <w:t>and</w:t>
      </w:r>
      <w:r w:rsidRPr="00DE6A36">
        <w:rPr>
          <w:rFonts w:cs="Arial"/>
          <w:szCs w:val="24"/>
        </w:rPr>
        <w:t xml:space="preserve"> other statutory duties</w:t>
      </w:r>
      <w:r w:rsidR="00DE6A36" w:rsidRPr="00DE6A36">
        <w:rPr>
          <w:rFonts w:cs="Arial"/>
          <w:szCs w:val="24"/>
        </w:rPr>
        <w:t>.</w:t>
      </w:r>
      <w:r w:rsidRPr="00DE6A36">
        <w:rPr>
          <w:rFonts w:cs="Arial"/>
          <w:szCs w:val="24"/>
        </w:rPr>
        <w:t xml:space="preserve"> </w:t>
      </w:r>
    </w:p>
    <w:p w:rsidR="00DE6A36" w:rsidRPr="00DE6A36" w:rsidRDefault="00DE6A36" w:rsidP="00DE6A36">
      <w:pPr>
        <w:tabs>
          <w:tab w:val="num" w:pos="1985"/>
        </w:tabs>
        <w:ind w:left="567"/>
        <w:jc w:val="both"/>
        <w:rPr>
          <w:rFonts w:cs="Arial"/>
          <w:szCs w:val="24"/>
        </w:rPr>
      </w:pPr>
    </w:p>
    <w:p w:rsidR="00105B2C" w:rsidRPr="00105B2C" w:rsidRDefault="007F4BDA"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In addition to reduced external funding</w:t>
      </w:r>
      <w:r w:rsidR="008D49CA">
        <w:rPr>
          <w:rFonts w:cs="Arial"/>
          <w:szCs w:val="24"/>
        </w:rPr>
        <w:t xml:space="preserve"> from grants </w:t>
      </w:r>
      <w:proofErr w:type="spellStart"/>
      <w:r w:rsidR="008D49CA">
        <w:rPr>
          <w:rFonts w:cs="Arial"/>
          <w:szCs w:val="24"/>
        </w:rPr>
        <w:t>etc</w:t>
      </w:r>
      <w:proofErr w:type="spellEnd"/>
      <w:r w:rsidR="00105B2C" w:rsidRPr="00105B2C">
        <w:rPr>
          <w:rFonts w:cs="Arial"/>
          <w:szCs w:val="24"/>
        </w:rPr>
        <w:t>, flexibility in the capital programme is also constrained by a number of factors:</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 xml:space="preserve">Unavoidable spending requirements such as the need to provide school places for the increasing school </w:t>
      </w:r>
      <w:r w:rsidR="008D49CA">
        <w:rPr>
          <w:rFonts w:cs="Arial"/>
          <w:szCs w:val="24"/>
        </w:rPr>
        <w:t xml:space="preserve">age </w:t>
      </w:r>
      <w:r w:rsidRPr="00105B2C">
        <w:rPr>
          <w:rFonts w:cs="Arial"/>
          <w:szCs w:val="24"/>
        </w:rPr>
        <w:t>population</w:t>
      </w:r>
      <w:r w:rsidR="00672B4D">
        <w:rPr>
          <w:rFonts w:cs="Arial"/>
          <w:szCs w:val="24"/>
        </w:rPr>
        <w:t xml:space="preserve">, </w:t>
      </w:r>
      <w:r w:rsidR="00672B4D" w:rsidRPr="00105B2C">
        <w:rPr>
          <w:rFonts w:cs="Arial"/>
          <w:szCs w:val="24"/>
        </w:rPr>
        <w:t>major</w:t>
      </w:r>
      <w:r w:rsidRPr="00105B2C">
        <w:rPr>
          <w:rFonts w:cs="Arial"/>
          <w:szCs w:val="24"/>
        </w:rPr>
        <w:t xml:space="preserve"> repairs to the Council’s buildings and carriageway and footway resurfacing.</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Restrictions in the way funding can be used e.g. ring fenced funding such as Transport for London and</w:t>
      </w:r>
      <w:r w:rsidR="00EB6285">
        <w:rPr>
          <w:rFonts w:cs="Arial"/>
          <w:szCs w:val="24"/>
        </w:rPr>
        <w:t xml:space="preserve"> the</w:t>
      </w:r>
      <w:r w:rsidRPr="00105B2C">
        <w:rPr>
          <w:rFonts w:cs="Arial"/>
          <w:szCs w:val="24"/>
        </w:rPr>
        <w:t xml:space="preserve"> D</w:t>
      </w:r>
      <w:r w:rsidR="00EB6285">
        <w:rPr>
          <w:rFonts w:cs="Arial"/>
          <w:szCs w:val="24"/>
        </w:rPr>
        <w:t>epartment o</w:t>
      </w:r>
      <w:r w:rsidRPr="00105B2C">
        <w:rPr>
          <w:rFonts w:cs="Arial"/>
          <w:szCs w:val="24"/>
        </w:rPr>
        <w:t>f</w:t>
      </w:r>
      <w:r w:rsidR="00EB6285">
        <w:rPr>
          <w:rFonts w:cs="Arial"/>
          <w:szCs w:val="24"/>
        </w:rPr>
        <w:t xml:space="preserve"> </w:t>
      </w:r>
      <w:r w:rsidRPr="00105B2C">
        <w:rPr>
          <w:rFonts w:cs="Arial"/>
          <w:szCs w:val="24"/>
        </w:rPr>
        <w:t>E</w:t>
      </w:r>
      <w:r w:rsidR="00EB6285">
        <w:rPr>
          <w:rFonts w:cs="Arial"/>
          <w:szCs w:val="24"/>
        </w:rPr>
        <w:t>ducation</w:t>
      </w:r>
      <w:r w:rsidRPr="00105B2C">
        <w:rPr>
          <w:rFonts w:cs="Arial"/>
          <w:szCs w:val="24"/>
        </w:rPr>
        <w:t xml:space="preserve"> grants for schools.</w:t>
      </w:r>
    </w:p>
    <w:p w:rsidR="00BC3849" w:rsidRPr="006D0A1B" w:rsidRDefault="00105B2C" w:rsidP="00105B2C">
      <w:pPr>
        <w:numPr>
          <w:ilvl w:val="1"/>
          <w:numId w:val="27"/>
        </w:numPr>
        <w:rPr>
          <w:sz w:val="28"/>
        </w:rPr>
      </w:pPr>
      <w:r w:rsidRPr="00105B2C">
        <w:rPr>
          <w:rFonts w:cs="Arial"/>
          <w:szCs w:val="24"/>
        </w:rPr>
        <w:t>A limited capacity to fund borrowing. Although there are no specific limits to borrowing in order to fund capital expenditure, since the introduction of the prudential borrowing framework, Councils must however consider the revenue implications in the context of the overall revenue budget commitments in the medium term</w:t>
      </w:r>
      <w:r w:rsidR="008D49CA">
        <w:rPr>
          <w:rFonts w:cs="Arial"/>
          <w:szCs w:val="24"/>
        </w:rPr>
        <w:t xml:space="preserve"> and the Capital Programme </w:t>
      </w:r>
      <w:r w:rsidRPr="00105B2C">
        <w:rPr>
          <w:rFonts w:cs="Arial"/>
          <w:szCs w:val="24"/>
        </w:rPr>
        <w:t xml:space="preserve">must be affordable. </w:t>
      </w:r>
    </w:p>
    <w:p w:rsidR="007D6071" w:rsidRPr="006D0A1B" w:rsidRDefault="007D6071" w:rsidP="006D0A1B">
      <w:pPr>
        <w:ind w:left="1440"/>
        <w:rPr>
          <w:sz w:val="28"/>
        </w:rPr>
      </w:pPr>
    </w:p>
    <w:p w:rsidR="00BC3849" w:rsidRPr="007D6071" w:rsidRDefault="00BC3849" w:rsidP="006D0A1B">
      <w:pPr>
        <w:numPr>
          <w:ilvl w:val="0"/>
          <w:numId w:val="27"/>
        </w:numPr>
        <w:rPr>
          <w:rFonts w:cs="Arial"/>
          <w:szCs w:val="24"/>
        </w:rPr>
      </w:pPr>
      <w:r w:rsidRPr="007D6071">
        <w:rPr>
          <w:rFonts w:cs="Arial"/>
          <w:szCs w:val="24"/>
        </w:rPr>
        <w:t>Capital proposals were considered against the following criteria:</w:t>
      </w:r>
    </w:p>
    <w:p w:rsidR="003841B3" w:rsidRPr="007D6071" w:rsidRDefault="003841B3" w:rsidP="003841B3">
      <w:pPr>
        <w:rPr>
          <w:rFonts w:cs="Arial"/>
          <w:szCs w:val="24"/>
        </w:rPr>
      </w:pPr>
    </w:p>
    <w:p w:rsidR="003841B3" w:rsidRPr="007D6071" w:rsidRDefault="003841B3" w:rsidP="003841B3">
      <w:pPr>
        <w:pStyle w:val="ListParagraph"/>
        <w:numPr>
          <w:ilvl w:val="0"/>
          <w:numId w:val="40"/>
        </w:numPr>
        <w:rPr>
          <w:rFonts w:cs="Arial"/>
          <w:szCs w:val="24"/>
        </w:rPr>
      </w:pPr>
      <w:r w:rsidRPr="007D6071">
        <w:rPr>
          <w:rFonts w:cs="Arial"/>
          <w:szCs w:val="24"/>
        </w:rPr>
        <w:t>Life and Limb/Health and Safety.</w:t>
      </w:r>
    </w:p>
    <w:p w:rsidR="003841B3" w:rsidRPr="007D6071" w:rsidRDefault="003841B3" w:rsidP="003841B3">
      <w:pPr>
        <w:numPr>
          <w:ilvl w:val="0"/>
          <w:numId w:val="40"/>
        </w:numPr>
        <w:spacing w:after="200" w:line="276" w:lineRule="auto"/>
        <w:contextualSpacing/>
        <w:rPr>
          <w:rFonts w:cs="Arial"/>
          <w:szCs w:val="24"/>
        </w:rPr>
      </w:pPr>
      <w:r w:rsidRPr="007D6071">
        <w:rPr>
          <w:rFonts w:cs="Arial"/>
          <w:szCs w:val="24"/>
        </w:rPr>
        <w:t>Statutory Requirement/legislation.</w:t>
      </w:r>
    </w:p>
    <w:p w:rsidR="003841B3" w:rsidRPr="007D6071" w:rsidRDefault="003841B3" w:rsidP="003841B3">
      <w:pPr>
        <w:numPr>
          <w:ilvl w:val="0"/>
          <w:numId w:val="40"/>
        </w:numPr>
        <w:spacing w:after="200" w:line="276" w:lineRule="auto"/>
        <w:contextualSpacing/>
        <w:rPr>
          <w:rFonts w:cs="Arial"/>
          <w:szCs w:val="24"/>
        </w:rPr>
      </w:pPr>
      <w:r w:rsidRPr="007D6071">
        <w:rPr>
          <w:rFonts w:cs="Arial"/>
          <w:szCs w:val="24"/>
        </w:rPr>
        <w:t>Schemes fully funded by external sources.</w:t>
      </w:r>
    </w:p>
    <w:p w:rsidR="003841B3" w:rsidRDefault="003841B3" w:rsidP="003841B3">
      <w:pPr>
        <w:numPr>
          <w:ilvl w:val="0"/>
          <w:numId w:val="40"/>
        </w:numPr>
        <w:spacing w:after="200" w:line="276" w:lineRule="auto"/>
        <w:contextualSpacing/>
        <w:rPr>
          <w:rFonts w:cs="Arial"/>
          <w:szCs w:val="24"/>
        </w:rPr>
      </w:pPr>
      <w:r w:rsidRPr="007D6071">
        <w:rPr>
          <w:rFonts w:cs="Arial"/>
          <w:szCs w:val="24"/>
        </w:rPr>
        <w:t>Invest to Save Schemes (the capital expenditure must generate a revenue stream to cover the capital financing costs and make a savings contribution).</w:t>
      </w:r>
    </w:p>
    <w:p w:rsidR="002A0370" w:rsidRPr="007D6071" w:rsidRDefault="002A0370" w:rsidP="00662DEC">
      <w:pPr>
        <w:spacing w:after="200" w:line="276" w:lineRule="auto"/>
        <w:ind w:left="1080"/>
        <w:contextualSpacing/>
        <w:rPr>
          <w:rFonts w:cs="Arial"/>
          <w:szCs w:val="24"/>
        </w:rPr>
      </w:pPr>
    </w:p>
    <w:p w:rsidR="00306856" w:rsidRPr="007D6071" w:rsidRDefault="00306856">
      <w:pPr>
        <w:numPr>
          <w:ilvl w:val="0"/>
          <w:numId w:val="27"/>
        </w:numPr>
        <w:tabs>
          <w:tab w:val="num" w:pos="1560"/>
        </w:tabs>
        <w:spacing w:after="240"/>
        <w:jc w:val="both"/>
        <w:rPr>
          <w:i/>
          <w:sz w:val="28"/>
        </w:rPr>
      </w:pPr>
      <w:r w:rsidRPr="007D6071">
        <w:rPr>
          <w:szCs w:val="24"/>
        </w:rPr>
        <w:t>The</w:t>
      </w:r>
      <w:r w:rsidRPr="007D6071">
        <w:rPr>
          <w:sz w:val="28"/>
        </w:rPr>
        <w:t xml:space="preserve"> </w:t>
      </w:r>
      <w:r w:rsidRPr="007D6071">
        <w:rPr>
          <w:rFonts w:cs="Arial"/>
          <w:szCs w:val="24"/>
        </w:rPr>
        <w:t>draft Capital Programme report presented to Cabinet in December</w:t>
      </w:r>
      <w:r w:rsidR="00EB6285" w:rsidRPr="007D6071">
        <w:rPr>
          <w:rFonts w:cs="Arial"/>
          <w:szCs w:val="24"/>
        </w:rPr>
        <w:t xml:space="preserve"> 201</w:t>
      </w:r>
      <w:r w:rsidR="003841B3" w:rsidRPr="007D6071">
        <w:rPr>
          <w:rFonts w:cs="Arial"/>
          <w:szCs w:val="24"/>
        </w:rPr>
        <w:t>7</w:t>
      </w:r>
      <w:r w:rsidRPr="007D6071">
        <w:rPr>
          <w:rFonts w:cs="Arial"/>
          <w:szCs w:val="24"/>
        </w:rPr>
        <w:t xml:space="preserve"> included a schedule of proposed additions to the Capital </w:t>
      </w:r>
      <w:r w:rsidR="00EB6285" w:rsidRPr="007D6071">
        <w:rPr>
          <w:rFonts w:cs="Arial"/>
          <w:szCs w:val="24"/>
        </w:rPr>
        <w:t>P</w:t>
      </w:r>
      <w:r w:rsidRPr="007D6071">
        <w:rPr>
          <w:rFonts w:cs="Arial"/>
          <w:szCs w:val="24"/>
        </w:rPr>
        <w:t>rogramme between 201</w:t>
      </w:r>
      <w:r w:rsidR="003841B3" w:rsidRPr="007D6071">
        <w:rPr>
          <w:rFonts w:cs="Arial"/>
          <w:szCs w:val="24"/>
        </w:rPr>
        <w:t>8</w:t>
      </w:r>
      <w:r w:rsidRPr="007D6071">
        <w:rPr>
          <w:rFonts w:cs="Arial"/>
          <w:szCs w:val="24"/>
        </w:rPr>
        <w:t>/1</w:t>
      </w:r>
      <w:r w:rsidR="003841B3" w:rsidRPr="007D6071">
        <w:rPr>
          <w:rFonts w:cs="Arial"/>
          <w:szCs w:val="24"/>
        </w:rPr>
        <w:t>9</w:t>
      </w:r>
      <w:r w:rsidRPr="007D6071">
        <w:rPr>
          <w:rFonts w:cs="Arial"/>
          <w:szCs w:val="24"/>
        </w:rPr>
        <w:t xml:space="preserve"> and 20</w:t>
      </w:r>
      <w:r w:rsidR="003841B3" w:rsidRPr="007D6071">
        <w:rPr>
          <w:rFonts w:cs="Arial"/>
          <w:szCs w:val="24"/>
        </w:rPr>
        <w:t>20</w:t>
      </w:r>
      <w:r w:rsidRPr="007D6071">
        <w:rPr>
          <w:rFonts w:cs="Arial"/>
          <w:szCs w:val="24"/>
        </w:rPr>
        <w:t>/2</w:t>
      </w:r>
      <w:r w:rsidR="003841B3" w:rsidRPr="007D6071">
        <w:rPr>
          <w:rFonts w:cs="Arial"/>
          <w:szCs w:val="24"/>
        </w:rPr>
        <w:t>1</w:t>
      </w:r>
      <w:r w:rsidRPr="007D6071">
        <w:rPr>
          <w:rFonts w:cs="Arial"/>
          <w:szCs w:val="24"/>
        </w:rPr>
        <w:t xml:space="preserve"> which </w:t>
      </w:r>
      <w:r w:rsidR="002A0370">
        <w:rPr>
          <w:rFonts w:cs="Arial"/>
          <w:szCs w:val="24"/>
        </w:rPr>
        <w:t>were</w:t>
      </w:r>
      <w:r w:rsidRPr="007D6071">
        <w:rPr>
          <w:rFonts w:cs="Arial"/>
          <w:szCs w:val="24"/>
        </w:rPr>
        <w:t xml:space="preserve"> subject to further review and consideration </w:t>
      </w:r>
      <w:r w:rsidR="00EB6285" w:rsidRPr="007D6071">
        <w:rPr>
          <w:rFonts w:cs="Arial"/>
          <w:szCs w:val="24"/>
        </w:rPr>
        <w:t xml:space="preserve">during  December and January, </w:t>
      </w:r>
      <w:r w:rsidRPr="007D6071">
        <w:rPr>
          <w:rFonts w:cs="Arial"/>
          <w:szCs w:val="24"/>
        </w:rPr>
        <w:t>prior to inclusion in this Final Capital Programme report in February</w:t>
      </w:r>
      <w:r w:rsidR="00EB6285" w:rsidRPr="007D6071">
        <w:rPr>
          <w:rFonts w:cs="Arial"/>
          <w:szCs w:val="24"/>
        </w:rPr>
        <w:t xml:space="preserve"> 201</w:t>
      </w:r>
      <w:r w:rsidR="003841B3" w:rsidRPr="007D6071">
        <w:rPr>
          <w:rFonts w:cs="Arial"/>
          <w:szCs w:val="24"/>
        </w:rPr>
        <w:t>8</w:t>
      </w:r>
      <w:r w:rsidRPr="007D6071">
        <w:rPr>
          <w:rFonts w:cs="Arial"/>
          <w:szCs w:val="24"/>
        </w:rPr>
        <w:t xml:space="preserve">. </w:t>
      </w:r>
    </w:p>
    <w:p w:rsidR="00306856" w:rsidRPr="00253BB4" w:rsidRDefault="00306856">
      <w:pPr>
        <w:numPr>
          <w:ilvl w:val="0"/>
          <w:numId w:val="27"/>
        </w:numPr>
        <w:tabs>
          <w:tab w:val="num" w:pos="1560"/>
        </w:tabs>
        <w:spacing w:after="240"/>
        <w:jc w:val="both"/>
        <w:rPr>
          <w:i/>
          <w:sz w:val="28"/>
        </w:rPr>
      </w:pPr>
      <w:r>
        <w:t xml:space="preserve">A </w:t>
      </w:r>
      <w:r w:rsidRPr="00105B2C">
        <w:rPr>
          <w:rFonts w:cs="Arial"/>
          <w:szCs w:val="24"/>
        </w:rPr>
        <w:t xml:space="preserve">list of the </w:t>
      </w:r>
      <w:r>
        <w:rPr>
          <w:rFonts w:cs="Arial"/>
          <w:szCs w:val="24"/>
        </w:rPr>
        <w:t xml:space="preserve">new </w:t>
      </w:r>
      <w:r w:rsidRPr="00105B2C">
        <w:rPr>
          <w:rFonts w:cs="Arial"/>
          <w:szCs w:val="24"/>
        </w:rPr>
        <w:t xml:space="preserve">proposed projects </w:t>
      </w:r>
      <w:r>
        <w:rPr>
          <w:rFonts w:cs="Arial"/>
          <w:szCs w:val="24"/>
        </w:rPr>
        <w:t xml:space="preserve">within the programme </w:t>
      </w:r>
      <w:r w:rsidRPr="00105B2C">
        <w:rPr>
          <w:rFonts w:cs="Arial"/>
          <w:szCs w:val="24"/>
        </w:rPr>
        <w:t xml:space="preserve">is detailed in appendix </w:t>
      </w:r>
      <w:r>
        <w:rPr>
          <w:rFonts w:cs="Arial"/>
          <w:szCs w:val="24"/>
        </w:rPr>
        <w:t>2 and summarised in Table 1 below:</w:t>
      </w:r>
    </w:p>
    <w:p w:rsidR="00137923" w:rsidRDefault="00137923" w:rsidP="00253BB4">
      <w:pPr>
        <w:ind w:left="360"/>
        <w:rPr>
          <w:szCs w:val="24"/>
        </w:rPr>
      </w:pPr>
      <w:r w:rsidRPr="00253BB4">
        <w:rPr>
          <w:szCs w:val="24"/>
        </w:rPr>
        <w:t>Table 1</w:t>
      </w:r>
    </w:p>
    <w:p w:rsidR="00002347" w:rsidRPr="00253BB4" w:rsidRDefault="00002347" w:rsidP="00253BB4">
      <w:pPr>
        <w:ind w:left="360"/>
        <w:rPr>
          <w:szCs w:val="24"/>
        </w:rPr>
      </w:pPr>
      <w:r w:rsidRPr="00002347">
        <w:rPr>
          <w:noProof/>
          <w:lang w:eastAsia="en-GB"/>
        </w:rPr>
        <w:drawing>
          <wp:inline distT="0" distB="0" distL="0" distR="0" wp14:anchorId="02A8FA93" wp14:editId="27A18500">
            <wp:extent cx="5755341" cy="2612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380" cy="2611228"/>
                    </a:xfrm>
                    <a:prstGeom prst="rect">
                      <a:avLst/>
                    </a:prstGeom>
                    <a:noFill/>
                    <a:ln>
                      <a:noFill/>
                    </a:ln>
                  </pic:spPr>
                </pic:pic>
              </a:graphicData>
            </a:graphic>
          </wp:inline>
        </w:drawing>
      </w:r>
    </w:p>
    <w:p w:rsidR="007420BD" w:rsidRDefault="007420BD" w:rsidP="00253BB4">
      <w:pPr>
        <w:jc w:val="both"/>
        <w:rPr>
          <w:rFonts w:cs="Arial"/>
          <w:szCs w:val="24"/>
        </w:rPr>
      </w:pPr>
    </w:p>
    <w:p w:rsidR="00B14937" w:rsidRDefault="00B14937" w:rsidP="00105B2C">
      <w:pPr>
        <w:ind w:left="567"/>
        <w:jc w:val="both"/>
        <w:rPr>
          <w:rFonts w:cs="Arial"/>
          <w:szCs w:val="24"/>
        </w:rPr>
      </w:pPr>
    </w:p>
    <w:p w:rsidR="00105B2C" w:rsidRDefault="005867D6" w:rsidP="00C01297">
      <w:pPr>
        <w:numPr>
          <w:ilvl w:val="0"/>
          <w:numId w:val="27"/>
        </w:numPr>
        <w:tabs>
          <w:tab w:val="clear" w:pos="360"/>
          <w:tab w:val="num" w:pos="993"/>
          <w:tab w:val="num" w:pos="1560"/>
        </w:tabs>
        <w:spacing w:after="240"/>
        <w:ind w:left="567" w:hanging="567"/>
        <w:jc w:val="both"/>
      </w:pPr>
      <w:r>
        <w:rPr>
          <w:rFonts w:cs="Arial"/>
          <w:szCs w:val="24"/>
        </w:rPr>
        <w:t>T</w:t>
      </w:r>
      <w:r w:rsidRPr="00105B2C">
        <w:rPr>
          <w:rFonts w:cs="Arial"/>
          <w:szCs w:val="24"/>
        </w:rPr>
        <w:t xml:space="preserve">hese provide for a very substantial </w:t>
      </w:r>
      <w:r w:rsidR="00693072">
        <w:rPr>
          <w:rFonts w:cs="Arial"/>
          <w:szCs w:val="24"/>
        </w:rPr>
        <w:t xml:space="preserve">net </w:t>
      </w:r>
      <w:r w:rsidRPr="00105B2C">
        <w:rPr>
          <w:rFonts w:cs="Arial"/>
          <w:szCs w:val="24"/>
        </w:rPr>
        <w:t xml:space="preserve">investment of </w:t>
      </w:r>
      <w:r w:rsidRPr="0015448F">
        <w:rPr>
          <w:rFonts w:cs="Arial"/>
          <w:szCs w:val="24"/>
        </w:rPr>
        <w:t>£</w:t>
      </w:r>
      <w:r w:rsidR="003841B3">
        <w:rPr>
          <w:rFonts w:cs="Arial"/>
          <w:szCs w:val="24"/>
        </w:rPr>
        <w:t>27.</w:t>
      </w:r>
      <w:r w:rsidR="00672B4D">
        <w:rPr>
          <w:rFonts w:cs="Arial"/>
          <w:szCs w:val="24"/>
        </w:rPr>
        <w:t>6</w:t>
      </w:r>
      <w:r w:rsidR="007420BD">
        <w:rPr>
          <w:rFonts w:cs="Arial"/>
          <w:szCs w:val="24"/>
        </w:rPr>
        <w:t>m</w:t>
      </w:r>
      <w:r w:rsidRPr="0015448F">
        <w:rPr>
          <w:rFonts w:cs="Arial"/>
          <w:szCs w:val="24"/>
        </w:rPr>
        <w:t xml:space="preserve"> in infrastructure on </w:t>
      </w:r>
      <w:r w:rsidR="0015448F" w:rsidRPr="0015448F">
        <w:rPr>
          <w:rFonts w:cs="Arial"/>
          <w:szCs w:val="24"/>
        </w:rPr>
        <w:t xml:space="preserve">the </w:t>
      </w:r>
      <w:r w:rsidRPr="0015448F">
        <w:rPr>
          <w:rFonts w:cs="Arial"/>
          <w:szCs w:val="24"/>
        </w:rPr>
        <w:t>General Fund services over the next three years in line with the Medium Term Financial Strategy</w:t>
      </w:r>
      <w:r w:rsidR="0015448F" w:rsidRPr="0015448F">
        <w:rPr>
          <w:rFonts w:cs="Arial"/>
          <w:szCs w:val="24"/>
        </w:rPr>
        <w:t>.</w:t>
      </w:r>
      <w:r w:rsidR="0015448F">
        <w:rPr>
          <w:rFonts w:cs="Arial"/>
          <w:szCs w:val="24"/>
        </w:rPr>
        <w:t xml:space="preserve"> </w:t>
      </w:r>
      <w:r w:rsidR="00105B2C" w:rsidRPr="0015448F">
        <w:t>The gross value of the proposed General Fund programme is £</w:t>
      </w:r>
      <w:r w:rsidR="003841B3">
        <w:t>3</w:t>
      </w:r>
      <w:r w:rsidR="00D4344A">
        <w:t>3.4</w:t>
      </w:r>
      <w:r w:rsidR="00002347">
        <w:t>7</w:t>
      </w:r>
      <w:r w:rsidR="00D4344A">
        <w:t>0</w:t>
      </w:r>
      <w:r w:rsidR="00072413" w:rsidRPr="0015448F">
        <w:t>m</w:t>
      </w:r>
      <w:r w:rsidR="00105B2C" w:rsidRPr="0015448F">
        <w:t xml:space="preserve">, with external funding </w:t>
      </w:r>
      <w:r w:rsidR="00105B2C" w:rsidRPr="005B1B67">
        <w:t>of £</w:t>
      </w:r>
      <w:r w:rsidR="00D4344A">
        <w:t>5.8</w:t>
      </w:r>
      <w:r w:rsidR="00002347">
        <w:t>6</w:t>
      </w:r>
      <w:r w:rsidR="00D4344A">
        <w:t>7</w:t>
      </w:r>
      <w:r w:rsidR="0015448F" w:rsidRPr="005B1B67">
        <w:t>m</w:t>
      </w:r>
      <w:r w:rsidR="00105B2C" w:rsidRPr="005B1B67">
        <w:t xml:space="preserve"> and a net </w:t>
      </w:r>
      <w:r w:rsidR="00E23647" w:rsidRPr="005B1B67">
        <w:t xml:space="preserve">increase in the programme of </w:t>
      </w:r>
      <w:r w:rsidR="00105B2C" w:rsidRPr="005B1B67">
        <w:t>£</w:t>
      </w:r>
      <w:r w:rsidR="003841B3">
        <w:t>27.</w:t>
      </w:r>
      <w:r w:rsidR="00D4344A">
        <w:t>6</w:t>
      </w:r>
      <w:r w:rsidR="003841B3">
        <w:t>03</w:t>
      </w:r>
      <w:r w:rsidR="00105B2C" w:rsidRPr="005B1B67">
        <w:t xml:space="preserve">m.  </w:t>
      </w:r>
    </w:p>
    <w:p w:rsidR="007B7A26" w:rsidRDefault="00137923" w:rsidP="00253BB4">
      <w:pPr>
        <w:tabs>
          <w:tab w:val="num" w:pos="1560"/>
        </w:tabs>
        <w:spacing w:after="240"/>
        <w:ind w:left="567"/>
        <w:jc w:val="both"/>
      </w:pPr>
      <w:r>
        <w:t>The new capital proposals are s</w:t>
      </w:r>
      <w:r w:rsidR="007B7A26">
        <w:t>et out at Appendix 2</w:t>
      </w:r>
      <w:r>
        <w:t>.</w:t>
      </w:r>
      <w:r w:rsidR="004E2620">
        <w:t xml:space="preserve">  In the main they relate to continuing with the existing pattern of expenditure for an additional year in 2020/21.</w:t>
      </w:r>
    </w:p>
    <w:p w:rsidR="00662DEC" w:rsidRDefault="00662DEC" w:rsidP="00253BB4">
      <w:pPr>
        <w:tabs>
          <w:tab w:val="num" w:pos="1560"/>
        </w:tabs>
        <w:spacing w:after="240"/>
        <w:ind w:left="567"/>
        <w:jc w:val="both"/>
      </w:pPr>
    </w:p>
    <w:p w:rsidR="007B7A26" w:rsidRPr="00253BB4" w:rsidRDefault="007B7A26" w:rsidP="00253BB4">
      <w:pPr>
        <w:tabs>
          <w:tab w:val="num" w:pos="1560"/>
        </w:tabs>
        <w:spacing w:after="240"/>
        <w:ind w:left="567"/>
        <w:jc w:val="both"/>
        <w:rPr>
          <w:b/>
        </w:rPr>
      </w:pPr>
      <w:r w:rsidRPr="00253BB4">
        <w:rPr>
          <w:b/>
        </w:rPr>
        <w:t>Resources</w:t>
      </w:r>
    </w:p>
    <w:p w:rsidR="00EA3646" w:rsidRPr="00BA47A1" w:rsidRDefault="00B628D7" w:rsidP="00C01297">
      <w:pPr>
        <w:numPr>
          <w:ilvl w:val="0"/>
          <w:numId w:val="27"/>
        </w:numPr>
        <w:tabs>
          <w:tab w:val="clear" w:pos="360"/>
          <w:tab w:val="num" w:pos="993"/>
          <w:tab w:val="num" w:pos="1560"/>
        </w:tabs>
        <w:spacing w:after="240"/>
        <w:ind w:left="567" w:hanging="567"/>
        <w:jc w:val="both"/>
        <w:rPr>
          <w:i/>
        </w:rPr>
      </w:pPr>
      <w:r w:rsidRPr="006D598A">
        <w:t>Information Technology</w:t>
      </w:r>
      <w:r w:rsidR="00EB6285" w:rsidRPr="006D598A">
        <w:t xml:space="preserve"> (IT)</w:t>
      </w:r>
      <w:r w:rsidR="007420BD" w:rsidRPr="006D598A">
        <w:t xml:space="preserve"> </w:t>
      </w:r>
      <w:r w:rsidR="007E360D" w:rsidRPr="00955100">
        <w:t xml:space="preserve">– an additional </w:t>
      </w:r>
      <w:r w:rsidR="007B7A26" w:rsidRPr="004E2620">
        <w:t>£</w:t>
      </w:r>
      <w:r w:rsidR="004E2620" w:rsidRPr="00BA47A1">
        <w:t>3m and has been included for IT Infrastructure refresh and £</w:t>
      </w:r>
      <w:r w:rsidR="007B7A26" w:rsidRPr="006D598A">
        <w:t xml:space="preserve">1.7m </w:t>
      </w:r>
      <w:r w:rsidR="004E2620" w:rsidRPr="00BA47A1">
        <w:t xml:space="preserve">for devolved IT applications </w:t>
      </w:r>
      <w:r w:rsidR="004E2620" w:rsidRPr="00BA47A1">
        <w:lastRenderedPageBreak/>
        <w:t xml:space="preserve">across the Council in 2020/21. </w:t>
      </w:r>
      <w:r w:rsidR="007B7A26" w:rsidRPr="006D598A">
        <w:t xml:space="preserve">This is to cover </w:t>
      </w:r>
      <w:r w:rsidR="007E360D" w:rsidRPr="006D598A">
        <w:t xml:space="preserve">the refresh of </w:t>
      </w:r>
      <w:r w:rsidR="007B7A26" w:rsidRPr="00955100">
        <w:t>devolved application</w:t>
      </w:r>
      <w:r w:rsidR="007E360D" w:rsidRPr="004E2620">
        <w:t xml:space="preserve">s, </w:t>
      </w:r>
      <w:r w:rsidR="007B7A26" w:rsidRPr="004E2620">
        <w:t xml:space="preserve">maintain external compliance </w:t>
      </w:r>
      <w:r w:rsidR="007E360D" w:rsidRPr="004E2620">
        <w:t xml:space="preserve">and </w:t>
      </w:r>
      <w:r w:rsidR="007B7A26" w:rsidRPr="004E2620">
        <w:t>to support the</w:t>
      </w:r>
      <w:r w:rsidR="00EA3646" w:rsidRPr="004E2620">
        <w:t xml:space="preserve"> deployment of new applications.</w:t>
      </w:r>
    </w:p>
    <w:p w:rsidR="00EA3646" w:rsidRPr="005E2350" w:rsidRDefault="00EA3646" w:rsidP="00253BB4">
      <w:pPr>
        <w:tabs>
          <w:tab w:val="num" w:pos="1560"/>
        </w:tabs>
        <w:spacing w:after="240"/>
        <w:ind w:left="567"/>
        <w:jc w:val="both"/>
        <w:rPr>
          <w:b/>
        </w:rPr>
      </w:pPr>
      <w:r w:rsidRPr="005E2350">
        <w:rPr>
          <w:b/>
        </w:rPr>
        <w:t>Community Directorate</w:t>
      </w:r>
    </w:p>
    <w:p w:rsidR="001548D5" w:rsidRPr="005E2350" w:rsidRDefault="001548D5" w:rsidP="00C01297">
      <w:pPr>
        <w:numPr>
          <w:ilvl w:val="0"/>
          <w:numId w:val="27"/>
        </w:numPr>
        <w:tabs>
          <w:tab w:val="clear" w:pos="360"/>
          <w:tab w:val="num" w:pos="993"/>
          <w:tab w:val="num" w:pos="1560"/>
        </w:tabs>
        <w:spacing w:after="240"/>
        <w:ind w:left="567" w:hanging="567"/>
        <w:jc w:val="both"/>
        <w:rPr>
          <w:i/>
        </w:rPr>
      </w:pPr>
      <w:r w:rsidRPr="005E2350">
        <w:t>Highways and Roads - £</w:t>
      </w:r>
      <w:r w:rsidR="004E2620" w:rsidRPr="00BA47A1">
        <w:t>5</w:t>
      </w:r>
      <w:r w:rsidRPr="006D598A">
        <w:t>.</w:t>
      </w:r>
      <w:r w:rsidR="004E2620" w:rsidRPr="00BA47A1">
        <w:t>0</w:t>
      </w:r>
      <w:r w:rsidRPr="006D598A">
        <w:t xml:space="preserve">m is proposed </w:t>
      </w:r>
      <w:r w:rsidR="005E2350" w:rsidRPr="00BA47A1">
        <w:t xml:space="preserve">in 2020/21 </w:t>
      </w:r>
      <w:r w:rsidRPr="006D598A">
        <w:t>to improve the Highways infrastructure</w:t>
      </w:r>
      <w:r w:rsidR="004E2620" w:rsidRPr="00BA47A1">
        <w:t xml:space="preserve"> which includes carriageways and footways.</w:t>
      </w:r>
      <w:r w:rsidRPr="00955100">
        <w:t xml:space="preserve"> </w:t>
      </w:r>
    </w:p>
    <w:p w:rsidR="002A49D2" w:rsidRPr="005E2350" w:rsidRDefault="005E2350" w:rsidP="00BD52B6">
      <w:pPr>
        <w:numPr>
          <w:ilvl w:val="0"/>
          <w:numId w:val="27"/>
        </w:numPr>
        <w:tabs>
          <w:tab w:val="clear" w:pos="360"/>
          <w:tab w:val="num" w:pos="993"/>
          <w:tab w:val="num" w:pos="1560"/>
        </w:tabs>
        <w:spacing w:after="240"/>
        <w:ind w:left="567" w:hanging="567"/>
        <w:jc w:val="both"/>
        <w:rPr>
          <w:i/>
        </w:rPr>
      </w:pPr>
      <w:r w:rsidRPr="00BA47A1">
        <w:t>Flood Defence and Highways drainage</w:t>
      </w:r>
      <w:r w:rsidR="00B628D7" w:rsidRPr="006D598A">
        <w:t xml:space="preserve"> - </w:t>
      </w:r>
      <w:r w:rsidR="00EA3646" w:rsidRPr="00955100">
        <w:t xml:space="preserve">£300k </w:t>
      </w:r>
      <w:r w:rsidRPr="00BA47A1">
        <w:t>for Flood defence and £200k for Highways drainage in 2020/21 to ensure investment on flood defence and drainage on Highways continues into 2020/21.</w:t>
      </w:r>
    </w:p>
    <w:p w:rsidR="00B628D7" w:rsidRPr="005F737E" w:rsidRDefault="005E2350" w:rsidP="00C01297">
      <w:pPr>
        <w:numPr>
          <w:ilvl w:val="0"/>
          <w:numId w:val="27"/>
        </w:numPr>
        <w:tabs>
          <w:tab w:val="clear" w:pos="360"/>
          <w:tab w:val="num" w:pos="993"/>
          <w:tab w:val="num" w:pos="1560"/>
        </w:tabs>
        <w:spacing w:after="240"/>
        <w:ind w:left="567" w:hanging="567"/>
        <w:jc w:val="both"/>
        <w:rPr>
          <w:i/>
        </w:rPr>
      </w:pPr>
      <w:r w:rsidRPr="00BA47A1">
        <w:t>Street Lighting</w:t>
      </w:r>
      <w:r w:rsidR="00B628D7" w:rsidRPr="006D598A">
        <w:t xml:space="preserve"> - £</w:t>
      </w:r>
      <w:r w:rsidRPr="00BA47A1">
        <w:t xml:space="preserve">1.5m is included in 2020/21 to continue the street lighting programme of investment. </w:t>
      </w:r>
    </w:p>
    <w:p w:rsidR="005F737E" w:rsidRPr="00BA47A1" w:rsidRDefault="005E2350" w:rsidP="00C01297">
      <w:pPr>
        <w:numPr>
          <w:ilvl w:val="0"/>
          <w:numId w:val="27"/>
        </w:numPr>
        <w:tabs>
          <w:tab w:val="clear" w:pos="360"/>
          <w:tab w:val="num" w:pos="993"/>
          <w:tab w:val="num" w:pos="1560"/>
        </w:tabs>
        <w:spacing w:after="240"/>
        <w:ind w:left="567" w:hanging="567"/>
        <w:jc w:val="both"/>
        <w:rPr>
          <w:i/>
        </w:rPr>
      </w:pPr>
      <w:r w:rsidRPr="00BA47A1">
        <w:t xml:space="preserve">Local Implementation Plan including parking management </w:t>
      </w:r>
      <w:r w:rsidR="005F737E" w:rsidRPr="00BA47A1">
        <w:t>–</w:t>
      </w:r>
      <w:r w:rsidRPr="00BA47A1">
        <w:t xml:space="preserve"> </w:t>
      </w:r>
      <w:r w:rsidR="006158CB">
        <w:t>£</w:t>
      </w:r>
      <w:r w:rsidR="00D6691F">
        <w:t>1</w:t>
      </w:r>
      <w:r w:rsidR="006158CB">
        <w:t xml:space="preserve">.3m in 2020/21. </w:t>
      </w:r>
      <w:r w:rsidR="005F737E" w:rsidRPr="00BA47A1">
        <w:t>Harrow will receive £</w:t>
      </w:r>
      <w:r w:rsidR="00D6691F">
        <w:t>1</w:t>
      </w:r>
      <w:r w:rsidR="005F737E" w:rsidRPr="00BA47A1">
        <w:t>m from TFL to deliver transport projects and initiatives set out on the local transport implementation plan which delivers around 20-30 specific schemes.  The Harrow contribution of £300k relates to parking schemes.</w:t>
      </w:r>
      <w:r w:rsidR="005F737E" w:rsidRPr="00BA47A1" w:rsidDel="005F737E">
        <w:t xml:space="preserve"> </w:t>
      </w:r>
    </w:p>
    <w:p w:rsidR="00661C20" w:rsidRPr="005F737E" w:rsidRDefault="005F737E" w:rsidP="00C01297">
      <w:pPr>
        <w:numPr>
          <w:ilvl w:val="0"/>
          <w:numId w:val="27"/>
        </w:numPr>
        <w:tabs>
          <w:tab w:val="clear" w:pos="360"/>
          <w:tab w:val="num" w:pos="993"/>
          <w:tab w:val="num" w:pos="1560"/>
        </w:tabs>
        <w:spacing w:after="240"/>
        <w:ind w:left="567" w:hanging="567"/>
        <w:jc w:val="both"/>
        <w:rPr>
          <w:i/>
        </w:rPr>
      </w:pPr>
      <w:r w:rsidRPr="00BA47A1">
        <w:t xml:space="preserve">Leisure and Library Capital Infrastructure - £150k is required in 2020/21 to continue to invest in Leisure and Library Infrastructure. </w:t>
      </w:r>
    </w:p>
    <w:p w:rsidR="006D598A" w:rsidRPr="00BA47A1" w:rsidRDefault="00661C20" w:rsidP="00C01297">
      <w:pPr>
        <w:numPr>
          <w:ilvl w:val="0"/>
          <w:numId w:val="27"/>
        </w:numPr>
        <w:tabs>
          <w:tab w:val="clear" w:pos="360"/>
          <w:tab w:val="num" w:pos="993"/>
          <w:tab w:val="num" w:pos="1560"/>
        </w:tabs>
        <w:spacing w:after="240"/>
        <w:ind w:left="567" w:hanging="567"/>
        <w:jc w:val="both"/>
        <w:rPr>
          <w:i/>
        </w:rPr>
      </w:pPr>
      <w:r w:rsidRPr="005F737E">
        <w:t xml:space="preserve">Harrow </w:t>
      </w:r>
      <w:r w:rsidR="005F737E" w:rsidRPr="00BA47A1">
        <w:t>Museum Infrastructure</w:t>
      </w:r>
      <w:r w:rsidRPr="00955100">
        <w:t xml:space="preserve"> - </w:t>
      </w:r>
      <w:r w:rsidR="005F737E" w:rsidRPr="00BA47A1">
        <w:t>£104k is included for 2020/21 for planned works beyond the day to day maintenance. It is anticipated that  £60k will be funded from match funding from external sources and so the Council commitment is £44k.</w:t>
      </w:r>
    </w:p>
    <w:p w:rsidR="006D598A" w:rsidRPr="00BA47A1" w:rsidRDefault="006D598A" w:rsidP="00C01297">
      <w:pPr>
        <w:numPr>
          <w:ilvl w:val="0"/>
          <w:numId w:val="27"/>
        </w:numPr>
        <w:tabs>
          <w:tab w:val="clear" w:pos="360"/>
          <w:tab w:val="num" w:pos="993"/>
          <w:tab w:val="num" w:pos="1560"/>
        </w:tabs>
        <w:spacing w:after="240"/>
        <w:ind w:left="567" w:hanging="567"/>
        <w:jc w:val="both"/>
        <w:rPr>
          <w:i/>
        </w:rPr>
      </w:pPr>
      <w:r>
        <w:t xml:space="preserve">CCTV Infrastructure - £1.6m (£800k in 2018/19 and £800k in 2019/20) to upgrade the Borough’s current CCTV Infrastructure which has been in place since 2001.  It is anticipated that the capital </w:t>
      </w:r>
      <w:r w:rsidR="006158CB">
        <w:t>financing</w:t>
      </w:r>
      <w:r>
        <w:t xml:space="preserve"> costs will be f</w:t>
      </w:r>
      <w:r w:rsidR="006158CB">
        <w:t xml:space="preserve">unded through additional income, which </w:t>
      </w:r>
      <w:r>
        <w:t>is subject to the development of a separate Business case.</w:t>
      </w:r>
      <w:r w:rsidR="006158CB">
        <w:t xml:space="preserve">  The scheme is included in the Capital programme at a neutral cost on the basis that it will only proceed if enough income can be generated to cover the capital financing costs.</w:t>
      </w:r>
    </w:p>
    <w:p w:rsidR="006D598A" w:rsidRPr="00BA47A1" w:rsidRDefault="006D598A" w:rsidP="00C01297">
      <w:pPr>
        <w:numPr>
          <w:ilvl w:val="0"/>
          <w:numId w:val="27"/>
        </w:numPr>
        <w:tabs>
          <w:tab w:val="clear" w:pos="360"/>
          <w:tab w:val="num" w:pos="993"/>
          <w:tab w:val="num" w:pos="1560"/>
        </w:tabs>
        <w:spacing w:after="240"/>
        <w:ind w:left="567" w:hanging="567"/>
        <w:jc w:val="both"/>
        <w:rPr>
          <w:i/>
        </w:rPr>
      </w:pPr>
      <w:r>
        <w:t>Carbon Reduction and High Priority Planned Investment to the Corporate Estate - £50k and £500k in 2020/21, respectively.  This is to continue the programme of investment to upgrade and improve existing assets in Council owned buildings and to ensure that properties are in a safe condition.</w:t>
      </w:r>
    </w:p>
    <w:p w:rsidR="00EF488E" w:rsidRPr="00BA47A1" w:rsidRDefault="006D598A" w:rsidP="00C01297">
      <w:pPr>
        <w:numPr>
          <w:ilvl w:val="0"/>
          <w:numId w:val="27"/>
        </w:numPr>
        <w:tabs>
          <w:tab w:val="clear" w:pos="360"/>
          <w:tab w:val="num" w:pos="993"/>
          <w:tab w:val="num" w:pos="1560"/>
        </w:tabs>
        <w:spacing w:after="240"/>
        <w:ind w:left="567" w:hanging="567"/>
        <w:jc w:val="both"/>
        <w:rPr>
          <w:i/>
        </w:rPr>
      </w:pPr>
      <w:r>
        <w:t>Parks Infrastructure - £675k in 2020/21 to continue the on-going programme to improve existing facilities and provide safe access for users.</w:t>
      </w:r>
    </w:p>
    <w:p w:rsidR="00326C38" w:rsidRPr="00BA47A1" w:rsidRDefault="00326C38" w:rsidP="00C01297">
      <w:pPr>
        <w:numPr>
          <w:ilvl w:val="0"/>
          <w:numId w:val="27"/>
        </w:numPr>
        <w:tabs>
          <w:tab w:val="clear" w:pos="360"/>
          <w:tab w:val="num" w:pos="993"/>
          <w:tab w:val="num" w:pos="1560"/>
        </w:tabs>
        <w:spacing w:after="240"/>
        <w:ind w:left="567" w:hanging="567"/>
        <w:jc w:val="both"/>
        <w:rPr>
          <w:i/>
        </w:rPr>
      </w:pPr>
      <w:r>
        <w:t>Redevelopment of Rayners Lane Toilet Block - £170k in 2018/19 for the refurbishment and re</w:t>
      </w:r>
      <w:r w:rsidR="00D638A8">
        <w:t>development</w:t>
      </w:r>
      <w:r>
        <w:t xml:space="preserve"> of this building to bring it back into use through a conversion to lettable shot/office space.  The rental income will cover capital financing costs and so this project is cost neutral in terms of the revenue budget.</w:t>
      </w:r>
    </w:p>
    <w:p w:rsidR="00EF5EAA" w:rsidRPr="00BA47A1" w:rsidRDefault="00EF488E" w:rsidP="00C01297">
      <w:pPr>
        <w:numPr>
          <w:ilvl w:val="0"/>
          <w:numId w:val="27"/>
        </w:numPr>
        <w:tabs>
          <w:tab w:val="clear" w:pos="360"/>
          <w:tab w:val="num" w:pos="993"/>
          <w:tab w:val="num" w:pos="1560"/>
        </w:tabs>
        <w:spacing w:after="240"/>
        <w:ind w:left="567" w:hanging="567"/>
        <w:jc w:val="both"/>
        <w:rPr>
          <w:i/>
        </w:rPr>
      </w:pPr>
      <w:r>
        <w:lastRenderedPageBreak/>
        <w:t>Trade waste bins and Waste and Recycling improvements - £100k and £150k in 2020/21 for the provision and replacement programme of trade waste bins and to make improvements to the Civic Amenity site including the replacement programme for wheeled bins.</w:t>
      </w:r>
    </w:p>
    <w:p w:rsidR="00EF5EAA" w:rsidRPr="00BA47A1" w:rsidRDefault="00EF5EAA" w:rsidP="00C01297">
      <w:pPr>
        <w:numPr>
          <w:ilvl w:val="0"/>
          <w:numId w:val="27"/>
        </w:numPr>
        <w:tabs>
          <w:tab w:val="clear" w:pos="360"/>
          <w:tab w:val="num" w:pos="993"/>
          <w:tab w:val="num" w:pos="1560"/>
        </w:tabs>
        <w:spacing w:after="240"/>
        <w:ind w:left="567" w:hanging="567"/>
        <w:jc w:val="both"/>
        <w:rPr>
          <w:i/>
        </w:rPr>
      </w:pPr>
      <w:r>
        <w:t>Corporate Accommodation - £255k in 2020/21 to cover the whole corporate estate for building works including plant and infrastructure, equipment and furnishings.</w:t>
      </w:r>
    </w:p>
    <w:p w:rsidR="00EF5EAA" w:rsidRPr="00BA47A1" w:rsidRDefault="00EF5EAA" w:rsidP="00C01297">
      <w:pPr>
        <w:numPr>
          <w:ilvl w:val="0"/>
          <w:numId w:val="27"/>
        </w:numPr>
        <w:tabs>
          <w:tab w:val="clear" w:pos="360"/>
          <w:tab w:val="num" w:pos="993"/>
          <w:tab w:val="num" w:pos="1560"/>
        </w:tabs>
        <w:spacing w:after="240"/>
        <w:ind w:left="567" w:hanging="567"/>
        <w:jc w:val="both"/>
        <w:rPr>
          <w:i/>
        </w:rPr>
      </w:pPr>
      <w:r>
        <w:t>Car park Infrastructure - £15k in 2020/21 for works to car parks including upgrades to parking machines as necessary.</w:t>
      </w:r>
    </w:p>
    <w:p w:rsidR="00EF5EAA" w:rsidRPr="00BA47A1" w:rsidRDefault="00EF5EAA" w:rsidP="00C01297">
      <w:pPr>
        <w:numPr>
          <w:ilvl w:val="0"/>
          <w:numId w:val="27"/>
        </w:numPr>
        <w:tabs>
          <w:tab w:val="clear" w:pos="360"/>
          <w:tab w:val="num" w:pos="993"/>
          <w:tab w:val="num" w:pos="1560"/>
        </w:tabs>
        <w:spacing w:after="240"/>
        <w:ind w:left="567" w:hanging="567"/>
        <w:jc w:val="both"/>
        <w:rPr>
          <w:i/>
        </w:rPr>
      </w:pPr>
      <w:r>
        <w:t>Green Grid – £150k in 2020/21 for the continuation of the programme of improvements to Harrow’s Green Infrastructure to provide a network or interlinked and multifunctional green spaces.</w:t>
      </w:r>
    </w:p>
    <w:p w:rsidR="00D71E7C" w:rsidRPr="00BA47A1" w:rsidRDefault="00EF5EAA" w:rsidP="00C01297">
      <w:pPr>
        <w:numPr>
          <w:ilvl w:val="0"/>
          <w:numId w:val="27"/>
        </w:numPr>
        <w:tabs>
          <w:tab w:val="clear" w:pos="360"/>
          <w:tab w:val="num" w:pos="993"/>
          <w:tab w:val="num" w:pos="1560"/>
        </w:tabs>
        <w:spacing w:after="240"/>
        <w:ind w:left="567" w:hanging="567"/>
        <w:jc w:val="both"/>
        <w:rPr>
          <w:i/>
        </w:rPr>
      </w:pPr>
      <w:r>
        <w:t xml:space="preserve">CCTV cameras and </w:t>
      </w:r>
      <w:r w:rsidR="003970B4">
        <w:t>equipment -</w:t>
      </w:r>
      <w:r w:rsidR="00D71E7C">
        <w:t xml:space="preserve"> £50k in 2020/21 for ongoing </w:t>
      </w:r>
      <w:r w:rsidR="00D71E7C" w:rsidRPr="00955100">
        <w:t>improvements to CCTV cameras as part of the Council</w:t>
      </w:r>
      <w:r w:rsidR="00D71E7C" w:rsidRPr="003970B4">
        <w:t>’s parking policy.</w:t>
      </w:r>
    </w:p>
    <w:p w:rsidR="00B5714D" w:rsidRPr="00BA47A1" w:rsidRDefault="00D71E7C" w:rsidP="00BA47A1">
      <w:pPr>
        <w:numPr>
          <w:ilvl w:val="0"/>
          <w:numId w:val="27"/>
        </w:numPr>
        <w:tabs>
          <w:tab w:val="clear" w:pos="360"/>
          <w:tab w:val="num" w:pos="567"/>
          <w:tab w:val="num" w:pos="1560"/>
        </w:tabs>
        <w:spacing w:after="240"/>
        <w:ind w:left="567" w:hanging="567"/>
        <w:jc w:val="both"/>
        <w:rPr>
          <w:i/>
        </w:rPr>
      </w:pPr>
      <w:r w:rsidRPr="00955100">
        <w:t xml:space="preserve">Redevelopment of </w:t>
      </w:r>
      <w:r w:rsidRPr="003970B4">
        <w:t xml:space="preserve">Vernon Lodge and Atkins House - </w:t>
      </w:r>
      <w:r w:rsidRPr="00BA47A1">
        <w:t>£750k was included in the Capital Programme</w:t>
      </w:r>
      <w:r w:rsidR="006158CB">
        <w:t xml:space="preserve"> for</w:t>
      </w:r>
      <w:r w:rsidRPr="00BA47A1">
        <w:t xml:space="preserve"> 2017/18</w:t>
      </w:r>
      <w:r w:rsidR="003970B4" w:rsidRPr="00BA47A1">
        <w:t>, mainly to replace the roof</w:t>
      </w:r>
      <w:r w:rsidRPr="00BA47A1">
        <w:t xml:space="preserve">. However, at the time alternative proposals were being looked at for Vernon Lodge and the funding for the roof was only to be committed if no other </w:t>
      </w:r>
      <w:r w:rsidR="003970B4" w:rsidRPr="00BA47A1">
        <w:t>alternative</w:t>
      </w:r>
      <w:r w:rsidRPr="00BA47A1">
        <w:t xml:space="preserve"> use was proposed.  As part of the 2018/19 Capital Programme, there is a proposal to redevelop Vernon Lodge at a total cost of £11.049m.  £10.324m is being proposed as an addition in this report (£775k 2018/19, £8.225m in 2019/20 and £1.324m in 2020/21), which is in addition to the uncommitted sum of </w:t>
      </w:r>
      <w:r w:rsidR="003970B4" w:rsidRPr="00BA47A1">
        <w:t>£725k in 2017/18</w:t>
      </w:r>
      <w:r w:rsidR="009F6126">
        <w:t xml:space="preserve"> for the roof</w:t>
      </w:r>
      <w:r w:rsidR="003970B4" w:rsidRPr="00BA47A1">
        <w:t>.</w:t>
      </w:r>
    </w:p>
    <w:p w:rsidR="003970B4" w:rsidRPr="00BA47A1" w:rsidRDefault="00D71E7C" w:rsidP="00BA47A1">
      <w:pPr>
        <w:tabs>
          <w:tab w:val="num" w:pos="1560"/>
        </w:tabs>
        <w:spacing w:after="240"/>
        <w:ind w:left="567"/>
        <w:jc w:val="both"/>
        <w:rPr>
          <w:i/>
        </w:rPr>
      </w:pPr>
      <w:r w:rsidRPr="00BA47A1">
        <w:t xml:space="preserve">This proposal is subject to </w:t>
      </w:r>
      <w:r w:rsidR="006158CB">
        <w:t>a</w:t>
      </w:r>
      <w:r w:rsidRPr="00BA47A1">
        <w:t xml:space="preserve"> business case being agreed by Cabinet in a separate future cabinet report. The business case will set out the proposal </w:t>
      </w:r>
      <w:r w:rsidR="003970B4" w:rsidRPr="00955100">
        <w:t xml:space="preserve">for </w:t>
      </w:r>
      <w:r w:rsidR="003970B4" w:rsidRPr="003970B4">
        <w:rPr>
          <w:bCs/>
          <w:lang w:val="en-US"/>
        </w:rPr>
        <w:t xml:space="preserve">the redevelopment of the Council’s only homelessness hostel, Vernon Lodge, to increase capacity and create purpose built accommodation that will provide the capacity for the Council to house its homeless without the use of bed and breakfast arrangements. It will also provide units that can be rented to those able to afford the rental and therefore reduce the costs of the Council renting/supplementing rental in private housing. This will </w:t>
      </w:r>
      <w:r w:rsidRPr="00BA47A1">
        <w:t xml:space="preserve">also generate additional revenue income for the Council.  It is anticipated that the additional revenue income will cover the running costs of the </w:t>
      </w:r>
      <w:r w:rsidR="003970B4" w:rsidRPr="00BA47A1">
        <w:t>new facility and cover the c</w:t>
      </w:r>
      <w:r w:rsidRPr="00BA47A1">
        <w:t>apital financing costs of the £</w:t>
      </w:r>
      <w:r w:rsidR="003970B4" w:rsidRPr="00BA47A1">
        <w:t>11.049m</w:t>
      </w:r>
      <w:r w:rsidRPr="00BA47A1">
        <w:t xml:space="preserve"> capital expenditure. The current budget includes the</w:t>
      </w:r>
      <w:r w:rsidR="003970B4" w:rsidRPr="00BA47A1">
        <w:t xml:space="preserve"> Capital financing costs of Vernon </w:t>
      </w:r>
      <w:r w:rsidR="003970B4" w:rsidRPr="00955100">
        <w:t>Lodge and</w:t>
      </w:r>
      <w:r w:rsidRPr="00BA47A1">
        <w:t xml:space="preserve"> also the anticipated revenue income to cover the</w:t>
      </w:r>
      <w:r w:rsidR="003970B4" w:rsidRPr="00BA47A1">
        <w:t>se</w:t>
      </w:r>
      <w:r w:rsidRPr="00BA47A1">
        <w:t xml:space="preserve"> costs, so it is cost neutral to the budget.  </w:t>
      </w:r>
    </w:p>
    <w:p w:rsidR="00661C20" w:rsidRPr="000F13C7" w:rsidRDefault="003970B4" w:rsidP="00BA47A1">
      <w:pPr>
        <w:numPr>
          <w:ilvl w:val="0"/>
          <w:numId w:val="27"/>
        </w:numPr>
        <w:tabs>
          <w:tab w:val="clear" w:pos="360"/>
          <w:tab w:val="num" w:pos="567"/>
          <w:tab w:val="num" w:pos="1560"/>
        </w:tabs>
        <w:spacing w:after="240"/>
        <w:ind w:left="567" w:hanging="567"/>
        <w:jc w:val="both"/>
        <w:rPr>
          <w:i/>
        </w:rPr>
      </w:pPr>
      <w:r>
        <w:t xml:space="preserve">Headstone Manor - Park for the People Project </w:t>
      </w:r>
      <w:r w:rsidR="00862BA9">
        <w:t>–</w:t>
      </w:r>
      <w:r>
        <w:t xml:space="preserve"> </w:t>
      </w:r>
      <w:r w:rsidR="00862BA9">
        <w:t xml:space="preserve">this project has a total cost of £1.797m (£75k 2018/19, £1.722m 2019/20) and is to be </w:t>
      </w:r>
      <w:r w:rsidR="00326C38">
        <w:t xml:space="preserve">fully </w:t>
      </w:r>
      <w:r w:rsidR="00862BA9">
        <w:t xml:space="preserve">funded by a  £1.127m bid to the Heritage Lottery Fund, £370k from Section 106 funding and £300k from Borough Community Infrastructure Levy (CIL) funding.  The project will address health and safety issues with the historic moat and improve existing footpath network and car park to enable it to cope with additional visitors.  This project is totally funded from external sources and will not attract any capital financing </w:t>
      </w:r>
      <w:r w:rsidR="00862BA9" w:rsidRPr="000F13C7">
        <w:t>costs.</w:t>
      </w:r>
    </w:p>
    <w:p w:rsidR="000F13C7" w:rsidRPr="00BA47A1" w:rsidRDefault="000F13C7" w:rsidP="00BA47A1">
      <w:pPr>
        <w:numPr>
          <w:ilvl w:val="0"/>
          <w:numId w:val="27"/>
        </w:numPr>
        <w:tabs>
          <w:tab w:val="clear" w:pos="360"/>
          <w:tab w:val="num" w:pos="567"/>
          <w:tab w:val="num" w:pos="1560"/>
        </w:tabs>
        <w:spacing w:after="240"/>
        <w:ind w:left="567" w:hanging="567"/>
        <w:jc w:val="both"/>
        <w:rPr>
          <w:i/>
        </w:rPr>
      </w:pPr>
      <w:r w:rsidRPr="00BA47A1">
        <w:lastRenderedPageBreak/>
        <w:t xml:space="preserve">Empty Property Grants - £450k in 2020/21 to provide grants to help bring </w:t>
      </w:r>
      <w:r>
        <w:t xml:space="preserve">  </w:t>
      </w:r>
      <w:r w:rsidRPr="00BA47A1">
        <w:t>empty properties back into use, generally in exchange for nomination rights for a period of time.</w:t>
      </w:r>
    </w:p>
    <w:p w:rsidR="000F13C7" w:rsidRPr="00BA47A1" w:rsidRDefault="00661C20" w:rsidP="00C01297">
      <w:pPr>
        <w:numPr>
          <w:ilvl w:val="0"/>
          <w:numId w:val="27"/>
        </w:numPr>
        <w:tabs>
          <w:tab w:val="clear" w:pos="360"/>
          <w:tab w:val="num" w:pos="993"/>
          <w:tab w:val="num" w:pos="1560"/>
        </w:tabs>
        <w:spacing w:after="240"/>
        <w:ind w:left="567" w:hanging="567"/>
        <w:jc w:val="both"/>
        <w:rPr>
          <w:i/>
        </w:rPr>
      </w:pPr>
      <w:r w:rsidRPr="000F13C7">
        <w:t xml:space="preserve">Disabled Facilities Grants - </w:t>
      </w:r>
      <w:r w:rsidR="000F13C7" w:rsidRPr="00BA47A1">
        <w:t>£2.030m in 2020/21 of which £1.180m of grant funding will be received leaving a £850k requirement to be funded from borrowing. This funding enables the delivery of adaptations to the homes of vulnerable residents of the Borough.</w:t>
      </w:r>
    </w:p>
    <w:p w:rsidR="000F13C7" w:rsidRPr="00BA47A1" w:rsidRDefault="000F13C7" w:rsidP="00BA47A1">
      <w:pPr>
        <w:tabs>
          <w:tab w:val="num" w:pos="1560"/>
        </w:tabs>
        <w:spacing w:after="240"/>
        <w:ind w:left="567"/>
        <w:jc w:val="both"/>
        <w:rPr>
          <w:b/>
          <w:i/>
        </w:rPr>
      </w:pPr>
      <w:r>
        <w:t>R</w:t>
      </w:r>
      <w:r w:rsidRPr="00BA47A1">
        <w:rPr>
          <w:b/>
        </w:rPr>
        <w:t>egeneration, Enterprise and Planning</w:t>
      </w:r>
    </w:p>
    <w:p w:rsidR="00661C20" w:rsidRPr="00662DEC" w:rsidRDefault="000F13C7" w:rsidP="00C01297">
      <w:pPr>
        <w:numPr>
          <w:ilvl w:val="0"/>
          <w:numId w:val="27"/>
        </w:numPr>
        <w:tabs>
          <w:tab w:val="clear" w:pos="360"/>
          <w:tab w:val="num" w:pos="993"/>
          <w:tab w:val="num" w:pos="1560"/>
        </w:tabs>
        <w:spacing w:after="240"/>
        <w:ind w:left="567" w:hanging="567"/>
        <w:jc w:val="both"/>
        <w:rPr>
          <w:i/>
        </w:rPr>
      </w:pPr>
      <w:r>
        <w:t xml:space="preserve">Lyon Road Pop-up Restaurant and </w:t>
      </w:r>
      <w:r w:rsidR="00326C38">
        <w:t>Square (</w:t>
      </w:r>
      <w:r>
        <w:t>GLA</w:t>
      </w:r>
      <w:r w:rsidR="00454E16">
        <w:t xml:space="preserve">, </w:t>
      </w:r>
      <w:r>
        <w:t>S</w:t>
      </w:r>
      <w:r w:rsidR="00454E16">
        <w:t xml:space="preserve">ection </w:t>
      </w:r>
      <w:r>
        <w:t>106</w:t>
      </w:r>
      <w:r w:rsidR="00454E16">
        <w:t xml:space="preserve"> and Neighbourhood CIL</w:t>
      </w:r>
      <w:r>
        <w:t xml:space="preserve"> Funded) – this project has a total cost of £1.</w:t>
      </w:r>
      <w:r w:rsidR="00454E16">
        <w:t>01</w:t>
      </w:r>
      <w:r w:rsidR="008915DA">
        <w:t>0</w:t>
      </w:r>
      <w:r>
        <w:t>m (£</w:t>
      </w:r>
      <w:r w:rsidR="00454E16">
        <w:t>84</w:t>
      </w:r>
      <w:r>
        <w:t>k 2018/19, £</w:t>
      </w:r>
      <w:r w:rsidR="00454E16">
        <w:t>72</w:t>
      </w:r>
      <w:r w:rsidR="008915DA">
        <w:t>5</w:t>
      </w:r>
      <w:r>
        <w:t>k 2019/20 and £</w:t>
      </w:r>
      <w:r w:rsidR="00454E16">
        <w:t>201</w:t>
      </w:r>
      <w:r>
        <w:t>k in 2020/21)</w:t>
      </w:r>
      <w:r w:rsidR="00454E16">
        <w:t>.  This project is</w:t>
      </w:r>
      <w:r>
        <w:t xml:space="preserve"> fully funded by the GLA</w:t>
      </w:r>
      <w:r w:rsidR="008915DA">
        <w:t xml:space="preserve"> £485k</w:t>
      </w:r>
      <w:r w:rsidR="00454E16">
        <w:t>, S106</w:t>
      </w:r>
      <w:r w:rsidR="008915DA">
        <w:t xml:space="preserve"> £450k</w:t>
      </w:r>
      <w:r w:rsidR="00454E16">
        <w:t xml:space="preserve"> and Neighbourhood CIL</w:t>
      </w:r>
      <w:r w:rsidR="008915DA">
        <w:t xml:space="preserve"> £75k</w:t>
      </w:r>
      <w:r>
        <w:t xml:space="preserve">.  The project is to transform an </w:t>
      </w:r>
      <w:r w:rsidR="00454E16">
        <w:t>existing</w:t>
      </w:r>
      <w:r>
        <w:t xml:space="preserve"> car park in Harrow Town Centre into a multi-function public space, improving the general environment for pedestrians and providing the opportunity for markets, especially food </w:t>
      </w:r>
      <w:r w:rsidRPr="00FC5633">
        <w:t xml:space="preserve">markets. </w:t>
      </w:r>
    </w:p>
    <w:p w:rsidR="00410380" w:rsidRPr="00FC5633" w:rsidRDefault="00410380" w:rsidP="00C01297">
      <w:pPr>
        <w:numPr>
          <w:ilvl w:val="0"/>
          <w:numId w:val="27"/>
        </w:numPr>
        <w:tabs>
          <w:tab w:val="clear" w:pos="360"/>
          <w:tab w:val="num" w:pos="993"/>
          <w:tab w:val="num" w:pos="1560"/>
        </w:tabs>
        <w:spacing w:after="240"/>
        <w:ind w:left="567" w:hanging="567"/>
        <w:jc w:val="both"/>
        <w:rPr>
          <w:i/>
        </w:rPr>
      </w:pPr>
      <w:r>
        <w:t>Mobile Technology in Community Learning - £20k in 2018/19 has been provided to purchase IT equipment to support Community Learning.  This funding has been provided by the GLA and Skills Funding Agency.</w:t>
      </w:r>
    </w:p>
    <w:p w:rsidR="00FC5633" w:rsidRPr="00BA47A1" w:rsidRDefault="000F13C7" w:rsidP="00BA47A1">
      <w:pPr>
        <w:numPr>
          <w:ilvl w:val="0"/>
          <w:numId w:val="27"/>
        </w:numPr>
        <w:tabs>
          <w:tab w:val="clear" w:pos="360"/>
          <w:tab w:val="num" w:pos="993"/>
          <w:tab w:val="num" w:pos="1560"/>
        </w:tabs>
        <w:spacing w:after="240"/>
        <w:ind w:left="567" w:hanging="567"/>
        <w:jc w:val="both"/>
        <w:rPr>
          <w:i/>
        </w:rPr>
      </w:pPr>
      <w:r w:rsidRPr="00BA47A1">
        <w:t>Neighbourhood CIL Schemes – a sum of £800k has been included in the Capital Programme in 2018/19</w:t>
      </w:r>
      <w:r w:rsidR="00FC5633" w:rsidRPr="00BA47A1">
        <w:t>.  CIL receipts can be used to fund a wide range of infrastructure including transport, schools, health and social care facilities, libraries, play areas, green spaces and sports facilities.</w:t>
      </w:r>
    </w:p>
    <w:p w:rsidR="000C14C9" w:rsidRPr="00D47AA9" w:rsidRDefault="000C14C9" w:rsidP="00D47AA9">
      <w:pPr>
        <w:spacing w:after="240"/>
        <w:ind w:firstLine="426"/>
        <w:jc w:val="both"/>
        <w:rPr>
          <w:rFonts w:cs="Arial"/>
          <w:b/>
          <w:szCs w:val="24"/>
        </w:rPr>
      </w:pPr>
      <w:r w:rsidRPr="00105B2C">
        <w:rPr>
          <w:rFonts w:cs="Arial"/>
          <w:b/>
          <w:szCs w:val="24"/>
        </w:rPr>
        <w:t>Capital Funding</w:t>
      </w:r>
      <w:r>
        <w:rPr>
          <w:rFonts w:cs="Arial"/>
          <w:b/>
          <w:szCs w:val="24"/>
        </w:rPr>
        <w:t xml:space="preserve"> for the New </w:t>
      </w:r>
      <w:r w:rsidR="003B44AD">
        <w:rPr>
          <w:rFonts w:cs="Arial"/>
          <w:b/>
          <w:szCs w:val="24"/>
        </w:rPr>
        <w:t>C</w:t>
      </w:r>
      <w:r>
        <w:rPr>
          <w:rFonts w:cs="Arial"/>
          <w:b/>
          <w:szCs w:val="24"/>
        </w:rPr>
        <w:t>apital Addition</w:t>
      </w:r>
      <w:r w:rsidR="00D47AA9">
        <w:rPr>
          <w:rFonts w:cs="Arial"/>
          <w:b/>
          <w:szCs w:val="24"/>
        </w:rPr>
        <w:t>s</w:t>
      </w:r>
    </w:p>
    <w:p w:rsidR="00B5714D" w:rsidRDefault="0048523F" w:rsidP="003841B3">
      <w:pPr>
        <w:numPr>
          <w:ilvl w:val="0"/>
          <w:numId w:val="27"/>
        </w:numPr>
        <w:tabs>
          <w:tab w:val="clear" w:pos="360"/>
          <w:tab w:val="num" w:pos="567"/>
          <w:tab w:val="num" w:pos="1985"/>
        </w:tabs>
        <w:ind w:left="567" w:hanging="567"/>
        <w:jc w:val="both"/>
        <w:rPr>
          <w:rFonts w:cs="Arial"/>
          <w:szCs w:val="24"/>
        </w:rPr>
      </w:pPr>
      <w:r>
        <w:rPr>
          <w:rFonts w:cs="Arial"/>
          <w:szCs w:val="24"/>
        </w:rPr>
        <w:t>N</w:t>
      </w:r>
      <w:r w:rsidR="003841B3" w:rsidRPr="000603F8">
        <w:rPr>
          <w:rFonts w:cs="Arial"/>
          <w:szCs w:val="24"/>
        </w:rPr>
        <w:t xml:space="preserve">ew capital additions to the General Fund programme for 2018/19 and 2019/20 </w:t>
      </w:r>
      <w:r>
        <w:rPr>
          <w:rFonts w:cs="Arial"/>
          <w:szCs w:val="24"/>
        </w:rPr>
        <w:t xml:space="preserve">have </w:t>
      </w:r>
      <w:r w:rsidR="003841B3" w:rsidRPr="000603F8">
        <w:rPr>
          <w:rFonts w:cs="Arial"/>
          <w:szCs w:val="24"/>
        </w:rPr>
        <w:t>only be</w:t>
      </w:r>
      <w:r>
        <w:rPr>
          <w:rFonts w:cs="Arial"/>
          <w:szCs w:val="24"/>
        </w:rPr>
        <w:t>en</w:t>
      </w:r>
      <w:r w:rsidR="003841B3" w:rsidRPr="000603F8">
        <w:rPr>
          <w:rFonts w:cs="Arial"/>
          <w:szCs w:val="24"/>
        </w:rPr>
        <w:t xml:space="preserve"> included if they are invest to save projects or can be funded from other external funding. Any borrowing costs that arise from new capital additions in 2018/19 and 2019/20 will be funded from additional income and therefore no impact in terms of revenue implications. For new schemes agreed in 2020/21, the </w:t>
      </w:r>
      <w:r>
        <w:rPr>
          <w:rFonts w:cs="Arial"/>
          <w:szCs w:val="24"/>
        </w:rPr>
        <w:t>cost is £</w:t>
      </w:r>
      <w:r w:rsidR="0054613F">
        <w:rPr>
          <w:rFonts w:cs="Arial"/>
          <w:szCs w:val="24"/>
        </w:rPr>
        <w:t>465k;</w:t>
      </w:r>
      <w:r>
        <w:rPr>
          <w:rFonts w:cs="Arial"/>
          <w:szCs w:val="24"/>
        </w:rPr>
        <w:t xml:space="preserve"> however this increases </w:t>
      </w:r>
      <w:r w:rsidR="0054613F">
        <w:rPr>
          <w:rFonts w:cs="Arial"/>
          <w:szCs w:val="24"/>
        </w:rPr>
        <w:t xml:space="preserve">by £1.919m in 2021/22 </w:t>
      </w:r>
      <w:r>
        <w:rPr>
          <w:rFonts w:cs="Arial"/>
          <w:szCs w:val="24"/>
        </w:rPr>
        <w:t>to £2.384m which is outside the current MTFS.</w:t>
      </w:r>
      <w:r w:rsidR="003841B3" w:rsidRPr="000603F8">
        <w:rPr>
          <w:rFonts w:cs="Arial"/>
          <w:szCs w:val="24"/>
        </w:rPr>
        <w:t xml:space="preserve"> </w:t>
      </w:r>
    </w:p>
    <w:p w:rsidR="00B5714D" w:rsidRDefault="00B5714D" w:rsidP="00BA47A1">
      <w:pPr>
        <w:tabs>
          <w:tab w:val="num" w:pos="1985"/>
        </w:tabs>
        <w:ind w:left="567"/>
        <w:jc w:val="both"/>
        <w:rPr>
          <w:rFonts w:cs="Arial"/>
          <w:szCs w:val="24"/>
        </w:rPr>
      </w:pPr>
    </w:p>
    <w:p w:rsidR="003841B3" w:rsidRDefault="003841B3" w:rsidP="003841B3">
      <w:pPr>
        <w:numPr>
          <w:ilvl w:val="0"/>
          <w:numId w:val="27"/>
        </w:numPr>
        <w:tabs>
          <w:tab w:val="clear" w:pos="360"/>
          <w:tab w:val="num" w:pos="567"/>
          <w:tab w:val="num" w:pos="1985"/>
        </w:tabs>
        <w:ind w:left="567" w:hanging="567"/>
        <w:jc w:val="both"/>
        <w:rPr>
          <w:rFonts w:cs="Arial"/>
          <w:szCs w:val="24"/>
        </w:rPr>
      </w:pPr>
      <w:r w:rsidRPr="000603F8">
        <w:rPr>
          <w:rFonts w:cs="Arial"/>
          <w:szCs w:val="24"/>
        </w:rPr>
        <w:t xml:space="preserve">The revenue implications of this new borrowing, in the context of the Council’s treasury management activity, are set out in table 2 below. The revenue implications are factored in to the </w:t>
      </w:r>
      <w:r w:rsidR="0054613F">
        <w:rPr>
          <w:rFonts w:cs="Arial"/>
          <w:szCs w:val="24"/>
        </w:rPr>
        <w:t xml:space="preserve">Final </w:t>
      </w:r>
      <w:r w:rsidR="0054613F" w:rsidRPr="000603F8">
        <w:rPr>
          <w:rFonts w:cs="Arial"/>
          <w:szCs w:val="24"/>
        </w:rPr>
        <w:t>revenue</w:t>
      </w:r>
      <w:r w:rsidRPr="000603F8">
        <w:rPr>
          <w:rFonts w:cs="Arial"/>
          <w:szCs w:val="24"/>
        </w:rPr>
        <w:t xml:space="preserve"> budget report for 2018/19 to 2020/21 being considered by Cabinet elsewhere on this agenda. The table only includes the additional revenue effects of the </w:t>
      </w:r>
      <w:r>
        <w:rPr>
          <w:rFonts w:cs="Arial"/>
          <w:szCs w:val="24"/>
        </w:rPr>
        <w:t xml:space="preserve">additional </w:t>
      </w:r>
      <w:r w:rsidRPr="000603F8">
        <w:rPr>
          <w:rFonts w:cs="Arial"/>
          <w:szCs w:val="24"/>
        </w:rPr>
        <w:t>programme that is proposed and excludes the revenue implications of previous years’ capital programmes which are already accounted for in the current MTFS.</w:t>
      </w:r>
    </w:p>
    <w:p w:rsidR="009F6126" w:rsidRDefault="009F6126" w:rsidP="00BA47A1">
      <w:pPr>
        <w:pStyle w:val="ListParagraph"/>
        <w:rPr>
          <w:rFonts w:cs="Arial"/>
          <w:szCs w:val="24"/>
        </w:rPr>
      </w:pPr>
    </w:p>
    <w:p w:rsidR="009F6126" w:rsidRDefault="009F6126" w:rsidP="00BA47A1">
      <w:pPr>
        <w:tabs>
          <w:tab w:val="num" w:pos="1985"/>
        </w:tabs>
        <w:jc w:val="both"/>
        <w:rPr>
          <w:rFonts w:cs="Arial"/>
          <w:szCs w:val="24"/>
        </w:rPr>
      </w:pPr>
    </w:p>
    <w:p w:rsidR="0048523F" w:rsidRDefault="0048523F" w:rsidP="00BA47A1">
      <w:pPr>
        <w:tabs>
          <w:tab w:val="num" w:pos="1985"/>
        </w:tabs>
        <w:jc w:val="both"/>
        <w:rPr>
          <w:rFonts w:cs="Arial"/>
          <w:szCs w:val="24"/>
        </w:rPr>
      </w:pPr>
    </w:p>
    <w:tbl>
      <w:tblPr>
        <w:tblW w:w="8363" w:type="dxa"/>
        <w:tblInd w:w="534" w:type="dxa"/>
        <w:tblLook w:val="04A0" w:firstRow="1" w:lastRow="0" w:firstColumn="1" w:lastColumn="0" w:noHBand="0" w:noVBand="1"/>
      </w:tblPr>
      <w:tblGrid>
        <w:gridCol w:w="4030"/>
        <w:gridCol w:w="286"/>
        <w:gridCol w:w="988"/>
        <w:gridCol w:w="988"/>
        <w:gridCol w:w="1027"/>
        <w:gridCol w:w="1044"/>
      </w:tblGrid>
      <w:tr w:rsidR="007D6071" w:rsidRPr="0048523F" w:rsidTr="00BA47A1">
        <w:trPr>
          <w:trHeight w:val="279"/>
        </w:trPr>
        <w:tc>
          <w:tcPr>
            <w:tcW w:w="6292" w:type="dxa"/>
            <w:gridSpan w:val="4"/>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Table 2: Capital Financing Implications of New Additions</w:t>
            </w:r>
          </w:p>
        </w:tc>
        <w:tc>
          <w:tcPr>
            <w:tcW w:w="1027" w:type="dxa"/>
            <w:tcBorders>
              <w:top w:val="nil"/>
              <w:left w:val="nil"/>
              <w:bottom w:val="nil"/>
              <w:right w:val="nil"/>
            </w:tcBorders>
            <w:shd w:val="clear" w:color="auto" w:fill="auto"/>
            <w:noWrap/>
            <w:vAlign w:val="bottom"/>
            <w:hideMark/>
          </w:tcPr>
          <w:p w:rsidR="0048523F" w:rsidRPr="0048523F" w:rsidRDefault="0048523F" w:rsidP="00BA47A1">
            <w:pPr>
              <w:ind w:firstLine="34"/>
              <w:rPr>
                <w:rFonts w:cs="Arial"/>
                <w:sz w:val="20"/>
                <w:lang w:eastAsia="en-GB"/>
              </w:rPr>
            </w:pPr>
          </w:p>
        </w:tc>
        <w:tc>
          <w:tcPr>
            <w:tcW w:w="1044" w:type="dxa"/>
            <w:tcBorders>
              <w:top w:val="nil"/>
              <w:left w:val="nil"/>
              <w:bottom w:val="nil"/>
              <w:right w:val="nil"/>
            </w:tcBorders>
            <w:shd w:val="clear" w:color="auto" w:fill="auto"/>
            <w:noWrap/>
            <w:vAlign w:val="bottom"/>
            <w:hideMark/>
          </w:tcPr>
          <w:p w:rsidR="0048523F" w:rsidRPr="0048523F" w:rsidRDefault="0048523F" w:rsidP="00BA47A1">
            <w:pPr>
              <w:ind w:firstLine="34"/>
              <w:rPr>
                <w:rFonts w:cs="Arial"/>
                <w:sz w:val="20"/>
                <w:lang w:eastAsia="en-GB"/>
              </w:rPr>
            </w:pPr>
          </w:p>
        </w:tc>
      </w:tr>
      <w:tr w:rsidR="007D6071" w:rsidRPr="0048523F" w:rsidTr="00BA47A1">
        <w:trPr>
          <w:trHeight w:val="264"/>
        </w:trPr>
        <w:tc>
          <w:tcPr>
            <w:tcW w:w="4030" w:type="dxa"/>
            <w:tcBorders>
              <w:top w:val="single" w:sz="8" w:space="0" w:color="auto"/>
              <w:left w:val="single" w:sz="8" w:space="0" w:color="auto"/>
              <w:bottom w:val="nil"/>
              <w:right w:val="nil"/>
            </w:tcBorders>
            <w:shd w:val="clear" w:color="auto" w:fill="auto"/>
            <w:noWrap/>
            <w:vAlign w:val="bottom"/>
            <w:hideMark/>
          </w:tcPr>
          <w:p w:rsidR="0048523F" w:rsidRPr="0048523F" w:rsidRDefault="0048523F" w:rsidP="00BA47A1">
            <w:pPr>
              <w:ind w:firstLine="34"/>
              <w:rPr>
                <w:rFonts w:cs="Arial"/>
                <w:sz w:val="20"/>
                <w:lang w:eastAsia="en-GB"/>
              </w:rPr>
            </w:pPr>
            <w:r w:rsidRPr="0048523F">
              <w:rPr>
                <w:rFonts w:cs="Arial"/>
                <w:sz w:val="20"/>
                <w:lang w:eastAsia="en-GB"/>
              </w:rPr>
              <w:t> </w:t>
            </w:r>
          </w:p>
        </w:tc>
        <w:tc>
          <w:tcPr>
            <w:tcW w:w="286" w:type="dxa"/>
            <w:tcBorders>
              <w:top w:val="single" w:sz="8" w:space="0" w:color="auto"/>
              <w:left w:val="nil"/>
              <w:bottom w:val="nil"/>
              <w:right w:val="nil"/>
            </w:tcBorders>
            <w:shd w:val="clear" w:color="auto" w:fill="auto"/>
            <w:noWrap/>
            <w:vAlign w:val="bottom"/>
            <w:hideMark/>
          </w:tcPr>
          <w:p w:rsidR="0048523F" w:rsidRPr="0048523F" w:rsidRDefault="0048523F" w:rsidP="00BA47A1">
            <w:pPr>
              <w:ind w:firstLine="34"/>
              <w:rPr>
                <w:rFonts w:cs="Arial"/>
                <w:sz w:val="20"/>
                <w:lang w:eastAsia="en-GB"/>
              </w:rPr>
            </w:pPr>
            <w:r w:rsidRPr="0048523F">
              <w:rPr>
                <w:rFonts w:cs="Arial"/>
                <w:sz w:val="20"/>
                <w:lang w:eastAsia="en-GB"/>
              </w:rPr>
              <w:t> </w:t>
            </w:r>
          </w:p>
        </w:tc>
        <w:tc>
          <w:tcPr>
            <w:tcW w:w="988" w:type="dxa"/>
            <w:tcBorders>
              <w:top w:val="single" w:sz="8" w:space="0" w:color="auto"/>
              <w:left w:val="nil"/>
              <w:bottom w:val="nil"/>
              <w:right w:val="nil"/>
            </w:tcBorders>
            <w:shd w:val="clear" w:color="auto" w:fill="auto"/>
            <w:noWrap/>
            <w:vAlign w:val="bottom"/>
            <w:hideMark/>
          </w:tcPr>
          <w:p w:rsidR="0048523F" w:rsidRPr="0048523F" w:rsidRDefault="0048523F" w:rsidP="00BA47A1">
            <w:pPr>
              <w:ind w:firstLine="34"/>
              <w:rPr>
                <w:rFonts w:cs="Arial"/>
                <w:sz w:val="20"/>
                <w:lang w:eastAsia="en-GB"/>
              </w:rPr>
            </w:pPr>
            <w:r w:rsidRPr="0048523F">
              <w:rPr>
                <w:rFonts w:cs="Arial"/>
                <w:sz w:val="20"/>
                <w:lang w:eastAsia="en-GB"/>
              </w:rPr>
              <w:t> </w:t>
            </w:r>
          </w:p>
        </w:tc>
        <w:tc>
          <w:tcPr>
            <w:tcW w:w="988" w:type="dxa"/>
            <w:tcBorders>
              <w:top w:val="single" w:sz="8" w:space="0" w:color="auto"/>
              <w:left w:val="nil"/>
              <w:bottom w:val="nil"/>
              <w:right w:val="nil"/>
            </w:tcBorders>
            <w:shd w:val="clear" w:color="auto" w:fill="auto"/>
            <w:noWrap/>
            <w:vAlign w:val="bottom"/>
            <w:hideMark/>
          </w:tcPr>
          <w:p w:rsidR="0048523F" w:rsidRPr="0048523F" w:rsidRDefault="0048523F" w:rsidP="00BA47A1">
            <w:pPr>
              <w:ind w:firstLine="34"/>
              <w:rPr>
                <w:rFonts w:cs="Arial"/>
                <w:sz w:val="20"/>
                <w:lang w:eastAsia="en-GB"/>
              </w:rPr>
            </w:pPr>
            <w:r w:rsidRPr="0048523F">
              <w:rPr>
                <w:rFonts w:cs="Arial"/>
                <w:sz w:val="20"/>
                <w:lang w:eastAsia="en-GB"/>
              </w:rPr>
              <w:t> </w:t>
            </w:r>
          </w:p>
        </w:tc>
        <w:tc>
          <w:tcPr>
            <w:tcW w:w="1027" w:type="dxa"/>
            <w:tcBorders>
              <w:top w:val="single" w:sz="8" w:space="0" w:color="auto"/>
              <w:left w:val="nil"/>
              <w:bottom w:val="nil"/>
              <w:right w:val="nil"/>
            </w:tcBorders>
            <w:shd w:val="clear" w:color="auto" w:fill="auto"/>
            <w:noWrap/>
            <w:vAlign w:val="bottom"/>
            <w:hideMark/>
          </w:tcPr>
          <w:p w:rsidR="0048523F" w:rsidRPr="0048523F" w:rsidRDefault="0048523F" w:rsidP="00BA47A1">
            <w:pPr>
              <w:ind w:firstLine="34"/>
              <w:rPr>
                <w:rFonts w:cs="Arial"/>
                <w:sz w:val="20"/>
                <w:lang w:eastAsia="en-GB"/>
              </w:rPr>
            </w:pPr>
            <w:r w:rsidRPr="0048523F">
              <w:rPr>
                <w:rFonts w:cs="Arial"/>
                <w:sz w:val="20"/>
                <w:lang w:eastAsia="en-GB"/>
              </w:rPr>
              <w:t> </w:t>
            </w:r>
          </w:p>
        </w:tc>
        <w:tc>
          <w:tcPr>
            <w:tcW w:w="1044" w:type="dxa"/>
            <w:tcBorders>
              <w:top w:val="single" w:sz="8" w:space="0" w:color="auto"/>
              <w:left w:val="nil"/>
              <w:bottom w:val="nil"/>
              <w:right w:val="single" w:sz="8" w:space="0" w:color="auto"/>
            </w:tcBorders>
            <w:shd w:val="clear" w:color="auto" w:fill="auto"/>
            <w:noWrap/>
            <w:vAlign w:val="bottom"/>
            <w:hideMark/>
          </w:tcPr>
          <w:p w:rsidR="0048523F" w:rsidRPr="0048523F" w:rsidRDefault="0048523F" w:rsidP="00BA47A1">
            <w:pPr>
              <w:ind w:firstLine="34"/>
              <w:rPr>
                <w:rFonts w:cs="Arial"/>
                <w:sz w:val="20"/>
                <w:lang w:eastAsia="en-GB"/>
              </w:rPr>
            </w:pPr>
            <w:r w:rsidRPr="0048523F">
              <w:rPr>
                <w:rFonts w:cs="Arial"/>
                <w:sz w:val="20"/>
                <w:lang w:eastAsia="en-GB"/>
              </w:rPr>
              <w:t> </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2018/19</w:t>
            </w: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2019/20</w:t>
            </w: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2020/21</w:t>
            </w: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2021/22</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lastRenderedPageBreak/>
              <w:t> </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£000</w:t>
            </w: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£000</w:t>
            </w: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£000</w:t>
            </w: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£000</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Minimum Revenue Provision (MRP)</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w:t>
            </w: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92</w:t>
            </w: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184</w:t>
            </w: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2,360</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Interest Costs</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55</w:t>
            </w: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332</w:t>
            </w: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837</w:t>
            </w: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837</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Less Income to cover MRP cost</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w:t>
            </w: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-92</w:t>
            </w: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-184</w:t>
            </w: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-442</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Less Income to cover interest cost</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-55</w:t>
            </w: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-332</w:t>
            </w: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-372</w:t>
            </w: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-372</w:t>
            </w:r>
          </w:p>
        </w:tc>
      </w:tr>
      <w:tr w:rsidR="007D6071" w:rsidRPr="0048523F" w:rsidTr="00BA47A1">
        <w:trPr>
          <w:trHeight w:val="264"/>
        </w:trPr>
        <w:tc>
          <w:tcPr>
            <w:tcW w:w="4030" w:type="dxa"/>
            <w:tcBorders>
              <w:top w:val="nil"/>
              <w:left w:val="single" w:sz="8" w:space="0" w:color="auto"/>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c>
          <w:tcPr>
            <w:tcW w:w="286"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988"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27" w:type="dxa"/>
            <w:tcBorders>
              <w:top w:val="nil"/>
              <w:left w:val="nil"/>
              <w:bottom w:val="nil"/>
              <w:right w:val="nil"/>
            </w:tcBorders>
            <w:shd w:val="clear" w:color="auto" w:fill="auto"/>
            <w:noWrap/>
            <w:vAlign w:val="bottom"/>
            <w:hideMark/>
          </w:tcPr>
          <w:p w:rsidR="0048523F" w:rsidRPr="00BA47A1" w:rsidRDefault="0048523F" w:rsidP="00BA47A1">
            <w:pPr>
              <w:ind w:firstLine="34"/>
              <w:rPr>
                <w:rFonts w:cs="Arial"/>
                <w:b/>
                <w:sz w:val="20"/>
                <w:lang w:eastAsia="en-GB"/>
              </w:rPr>
            </w:pPr>
          </w:p>
        </w:tc>
        <w:tc>
          <w:tcPr>
            <w:tcW w:w="1044" w:type="dxa"/>
            <w:tcBorders>
              <w:top w:val="nil"/>
              <w:left w:val="nil"/>
              <w:bottom w:val="nil"/>
              <w:right w:val="single" w:sz="8" w:space="0" w:color="auto"/>
            </w:tcBorders>
            <w:shd w:val="clear" w:color="auto" w:fill="auto"/>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r>
      <w:tr w:rsidR="007D6071" w:rsidRPr="0048523F" w:rsidTr="00BA47A1">
        <w:trPr>
          <w:trHeight w:val="279"/>
        </w:trPr>
        <w:tc>
          <w:tcPr>
            <w:tcW w:w="4030" w:type="dxa"/>
            <w:tcBorders>
              <w:top w:val="nil"/>
              <w:left w:val="single" w:sz="8" w:space="0" w:color="auto"/>
              <w:bottom w:val="single" w:sz="8" w:space="0" w:color="auto"/>
              <w:right w:val="nil"/>
            </w:tcBorders>
            <w:shd w:val="clear" w:color="000000" w:fill="BFBFBF"/>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Total Capital Financing Costs</w:t>
            </w:r>
          </w:p>
        </w:tc>
        <w:tc>
          <w:tcPr>
            <w:tcW w:w="286" w:type="dxa"/>
            <w:tcBorders>
              <w:top w:val="nil"/>
              <w:left w:val="nil"/>
              <w:bottom w:val="single" w:sz="8" w:space="0" w:color="auto"/>
              <w:right w:val="nil"/>
            </w:tcBorders>
            <w:shd w:val="clear" w:color="000000" w:fill="BFBFBF"/>
            <w:noWrap/>
            <w:vAlign w:val="bottom"/>
            <w:hideMark/>
          </w:tcPr>
          <w:p w:rsidR="0048523F" w:rsidRPr="00BA47A1" w:rsidRDefault="0048523F" w:rsidP="00BA47A1">
            <w:pPr>
              <w:ind w:firstLine="34"/>
              <w:rPr>
                <w:rFonts w:cs="Arial"/>
                <w:b/>
                <w:sz w:val="20"/>
                <w:lang w:eastAsia="en-GB"/>
              </w:rPr>
            </w:pPr>
            <w:r w:rsidRPr="00BA47A1">
              <w:rPr>
                <w:rFonts w:cs="Arial"/>
                <w:b/>
                <w:sz w:val="20"/>
                <w:lang w:eastAsia="en-GB"/>
              </w:rPr>
              <w:t> </w:t>
            </w:r>
          </w:p>
        </w:tc>
        <w:tc>
          <w:tcPr>
            <w:tcW w:w="988" w:type="dxa"/>
            <w:tcBorders>
              <w:top w:val="nil"/>
              <w:left w:val="nil"/>
              <w:bottom w:val="single" w:sz="8" w:space="0" w:color="auto"/>
              <w:right w:val="nil"/>
            </w:tcBorders>
            <w:shd w:val="clear" w:color="000000" w:fill="BFBFBF"/>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w:t>
            </w:r>
          </w:p>
        </w:tc>
        <w:tc>
          <w:tcPr>
            <w:tcW w:w="988" w:type="dxa"/>
            <w:tcBorders>
              <w:top w:val="nil"/>
              <w:left w:val="nil"/>
              <w:bottom w:val="single" w:sz="8" w:space="0" w:color="auto"/>
              <w:right w:val="nil"/>
            </w:tcBorders>
            <w:shd w:val="clear" w:color="000000" w:fill="BFBFBF"/>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0</w:t>
            </w:r>
          </w:p>
        </w:tc>
        <w:tc>
          <w:tcPr>
            <w:tcW w:w="1027" w:type="dxa"/>
            <w:tcBorders>
              <w:top w:val="nil"/>
              <w:left w:val="nil"/>
              <w:bottom w:val="single" w:sz="8" w:space="0" w:color="auto"/>
              <w:right w:val="nil"/>
            </w:tcBorders>
            <w:shd w:val="clear" w:color="000000" w:fill="BFBFBF"/>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465</w:t>
            </w:r>
          </w:p>
        </w:tc>
        <w:tc>
          <w:tcPr>
            <w:tcW w:w="1044" w:type="dxa"/>
            <w:tcBorders>
              <w:top w:val="nil"/>
              <w:left w:val="nil"/>
              <w:bottom w:val="single" w:sz="8" w:space="0" w:color="auto"/>
              <w:right w:val="single" w:sz="8" w:space="0" w:color="auto"/>
            </w:tcBorders>
            <w:shd w:val="clear" w:color="000000" w:fill="BFBFBF"/>
            <w:noWrap/>
            <w:vAlign w:val="bottom"/>
            <w:hideMark/>
          </w:tcPr>
          <w:p w:rsidR="0048523F" w:rsidRPr="00BA47A1" w:rsidRDefault="0048523F" w:rsidP="00BA47A1">
            <w:pPr>
              <w:ind w:firstLine="34"/>
              <w:jc w:val="right"/>
              <w:rPr>
                <w:rFonts w:cs="Arial"/>
                <w:b/>
                <w:sz w:val="20"/>
                <w:lang w:eastAsia="en-GB"/>
              </w:rPr>
            </w:pPr>
            <w:r w:rsidRPr="00BA47A1">
              <w:rPr>
                <w:rFonts w:cs="Arial"/>
                <w:b/>
                <w:sz w:val="20"/>
                <w:lang w:eastAsia="en-GB"/>
              </w:rPr>
              <w:t>2384</w:t>
            </w:r>
          </w:p>
        </w:tc>
      </w:tr>
    </w:tbl>
    <w:p w:rsidR="0048523F" w:rsidRDefault="0048523F" w:rsidP="00BA47A1">
      <w:pPr>
        <w:tabs>
          <w:tab w:val="num" w:pos="1985"/>
        </w:tabs>
        <w:jc w:val="both"/>
        <w:rPr>
          <w:rFonts w:cs="Arial"/>
          <w:szCs w:val="24"/>
        </w:rPr>
      </w:pPr>
    </w:p>
    <w:p w:rsidR="0048523F" w:rsidRDefault="0048523F" w:rsidP="00BA47A1">
      <w:pPr>
        <w:tabs>
          <w:tab w:val="num" w:pos="1985"/>
        </w:tabs>
        <w:ind w:left="567"/>
        <w:jc w:val="both"/>
        <w:rPr>
          <w:rFonts w:cs="Arial"/>
          <w:szCs w:val="24"/>
        </w:rPr>
      </w:pPr>
    </w:p>
    <w:p w:rsidR="00DB0292" w:rsidRDefault="000C14C9" w:rsidP="000C14C9">
      <w:pPr>
        <w:numPr>
          <w:ilvl w:val="0"/>
          <w:numId w:val="27"/>
        </w:numPr>
        <w:tabs>
          <w:tab w:val="clear" w:pos="360"/>
          <w:tab w:val="num" w:pos="567"/>
          <w:tab w:val="num" w:pos="1985"/>
        </w:tabs>
        <w:spacing w:after="240"/>
        <w:ind w:left="567" w:hanging="567"/>
        <w:jc w:val="both"/>
        <w:rPr>
          <w:rFonts w:cs="Arial"/>
          <w:szCs w:val="24"/>
        </w:rPr>
      </w:pPr>
      <w:r w:rsidRPr="000D4DCF">
        <w:rPr>
          <w:rFonts w:cs="Arial"/>
          <w:szCs w:val="24"/>
        </w:rPr>
        <w:t xml:space="preserve">The </w:t>
      </w:r>
      <w:r w:rsidR="00B91DFC">
        <w:rPr>
          <w:rFonts w:cs="Arial"/>
          <w:szCs w:val="24"/>
        </w:rPr>
        <w:t xml:space="preserve">capital financing cost increases by £1.919m from £465k to </w:t>
      </w:r>
      <w:r w:rsidR="0048523F">
        <w:rPr>
          <w:rFonts w:cs="Arial"/>
          <w:szCs w:val="24"/>
        </w:rPr>
        <w:t>£2.384m in 2021/22 which is outside the current MTFS but this will need to be included next year when the budget is extended for a further year to 2021/22.</w:t>
      </w:r>
    </w:p>
    <w:p w:rsidR="000C14C9" w:rsidRPr="000D4DCF" w:rsidRDefault="000C14C9" w:rsidP="000C14C9">
      <w:pPr>
        <w:numPr>
          <w:ilvl w:val="0"/>
          <w:numId w:val="27"/>
        </w:numPr>
        <w:tabs>
          <w:tab w:val="clear" w:pos="360"/>
          <w:tab w:val="num" w:pos="567"/>
          <w:tab w:val="num" w:pos="1985"/>
        </w:tabs>
        <w:spacing w:after="240"/>
        <w:ind w:left="567" w:hanging="567"/>
        <w:jc w:val="both"/>
        <w:rPr>
          <w:rFonts w:cs="Arial"/>
          <w:szCs w:val="24"/>
        </w:rPr>
      </w:pPr>
      <w:r w:rsidRPr="000D4DCF">
        <w:rPr>
          <w:rFonts w:cs="Arial"/>
          <w:szCs w:val="24"/>
        </w:rPr>
        <w:t>There is no MRP impact in 201</w:t>
      </w:r>
      <w:r w:rsidR="0048523F">
        <w:rPr>
          <w:rFonts w:cs="Arial"/>
          <w:szCs w:val="24"/>
        </w:rPr>
        <w:t>8</w:t>
      </w:r>
      <w:r w:rsidRPr="000D4DCF">
        <w:rPr>
          <w:rFonts w:cs="Arial"/>
          <w:szCs w:val="24"/>
        </w:rPr>
        <w:t>/1</w:t>
      </w:r>
      <w:r w:rsidR="0048523F">
        <w:rPr>
          <w:rFonts w:cs="Arial"/>
          <w:szCs w:val="24"/>
        </w:rPr>
        <w:t>9</w:t>
      </w:r>
      <w:r w:rsidRPr="000D4DCF">
        <w:rPr>
          <w:rFonts w:cs="Arial"/>
          <w:szCs w:val="24"/>
        </w:rPr>
        <w:t xml:space="preserve"> as MRP in relation to expenditure in 201</w:t>
      </w:r>
      <w:r w:rsidR="0048523F">
        <w:rPr>
          <w:rFonts w:cs="Arial"/>
          <w:szCs w:val="24"/>
        </w:rPr>
        <w:t>8</w:t>
      </w:r>
      <w:r w:rsidRPr="000D4DCF">
        <w:rPr>
          <w:rFonts w:cs="Arial"/>
          <w:szCs w:val="24"/>
        </w:rPr>
        <w:t>/1</w:t>
      </w:r>
      <w:r w:rsidR="0048523F">
        <w:rPr>
          <w:rFonts w:cs="Arial"/>
          <w:szCs w:val="24"/>
        </w:rPr>
        <w:t>9</w:t>
      </w:r>
      <w:r w:rsidRPr="000D4DCF">
        <w:rPr>
          <w:rFonts w:cs="Arial"/>
          <w:szCs w:val="24"/>
        </w:rPr>
        <w:t xml:space="preserve"> does not commence until 201</w:t>
      </w:r>
      <w:r w:rsidR="0048523F">
        <w:rPr>
          <w:rFonts w:cs="Arial"/>
          <w:szCs w:val="24"/>
        </w:rPr>
        <w:t>9</w:t>
      </w:r>
      <w:r w:rsidRPr="000D4DCF">
        <w:rPr>
          <w:rFonts w:cs="Arial"/>
          <w:szCs w:val="24"/>
        </w:rPr>
        <w:t>/</w:t>
      </w:r>
      <w:r w:rsidR="0048523F">
        <w:rPr>
          <w:rFonts w:cs="Arial"/>
          <w:szCs w:val="24"/>
        </w:rPr>
        <w:t>20</w:t>
      </w:r>
      <w:r w:rsidRPr="000D4DCF">
        <w:rPr>
          <w:rFonts w:cs="Arial"/>
          <w:szCs w:val="24"/>
        </w:rPr>
        <w:t xml:space="preserve">.   </w:t>
      </w:r>
    </w:p>
    <w:p w:rsidR="000C14C9" w:rsidRDefault="000C14C9" w:rsidP="000C14C9">
      <w:pPr>
        <w:numPr>
          <w:ilvl w:val="0"/>
          <w:numId w:val="27"/>
        </w:numPr>
        <w:tabs>
          <w:tab w:val="clear" w:pos="360"/>
          <w:tab w:val="num" w:pos="567"/>
          <w:tab w:val="num" w:pos="1985"/>
        </w:tabs>
        <w:ind w:left="567" w:hanging="567"/>
        <w:jc w:val="both"/>
        <w:rPr>
          <w:rFonts w:cs="Arial"/>
          <w:szCs w:val="24"/>
        </w:rPr>
      </w:pPr>
      <w:r w:rsidRPr="00105B2C">
        <w:rPr>
          <w:rFonts w:cs="Arial"/>
          <w:szCs w:val="24"/>
        </w:rPr>
        <w:t xml:space="preserve">It should be noted that the capital financing costs are based on a number of assumptions about the level of capital expenditure, timing of any borrowing, </w:t>
      </w:r>
      <w:r w:rsidR="00693072">
        <w:rPr>
          <w:rFonts w:cs="Arial"/>
          <w:szCs w:val="24"/>
        </w:rPr>
        <w:t xml:space="preserve">PWLB </w:t>
      </w:r>
      <w:r w:rsidRPr="00105B2C">
        <w:rPr>
          <w:rFonts w:cs="Arial"/>
          <w:szCs w:val="24"/>
        </w:rPr>
        <w:t>interest rates</w:t>
      </w:r>
      <w:r w:rsidR="00693072">
        <w:rPr>
          <w:rFonts w:cs="Arial"/>
          <w:szCs w:val="24"/>
        </w:rPr>
        <w:t xml:space="preserve"> (current rates used at time of writing the report) </w:t>
      </w:r>
      <w:r w:rsidRPr="00105B2C">
        <w:rPr>
          <w:rFonts w:cs="Arial"/>
          <w:szCs w:val="24"/>
        </w:rPr>
        <w:t xml:space="preserve">and </w:t>
      </w:r>
      <w:r w:rsidR="00693072">
        <w:rPr>
          <w:rFonts w:cs="Arial"/>
          <w:szCs w:val="24"/>
        </w:rPr>
        <w:t>asset lives used in estimating</w:t>
      </w:r>
      <w:r w:rsidRPr="00105B2C">
        <w:rPr>
          <w:rFonts w:cs="Arial"/>
          <w:szCs w:val="24"/>
        </w:rPr>
        <w:t xml:space="preserve"> of the minimum revenue provision. The revenue budget reflects the best estim</w:t>
      </w:r>
      <w:r w:rsidR="00D47AA9">
        <w:rPr>
          <w:rFonts w:cs="Arial"/>
          <w:szCs w:val="24"/>
        </w:rPr>
        <w:t>ate based on these assumptions</w:t>
      </w:r>
      <w:r w:rsidR="00B74FD0">
        <w:rPr>
          <w:rFonts w:cs="Arial"/>
          <w:szCs w:val="24"/>
        </w:rPr>
        <w:t>.</w:t>
      </w:r>
    </w:p>
    <w:p w:rsidR="003841B3" w:rsidRDefault="003841B3" w:rsidP="00BA47A1">
      <w:pPr>
        <w:tabs>
          <w:tab w:val="num" w:pos="1985"/>
        </w:tabs>
        <w:ind w:left="567"/>
        <w:jc w:val="both"/>
        <w:rPr>
          <w:rFonts w:cs="Arial"/>
          <w:szCs w:val="24"/>
        </w:rPr>
      </w:pPr>
    </w:p>
    <w:p w:rsidR="003841B3" w:rsidRDefault="003841B3" w:rsidP="003841B3">
      <w:pPr>
        <w:tabs>
          <w:tab w:val="num" w:pos="1985"/>
        </w:tabs>
        <w:ind w:left="567" w:hanging="141"/>
        <w:jc w:val="both"/>
        <w:rPr>
          <w:rFonts w:cs="Arial"/>
          <w:b/>
          <w:szCs w:val="24"/>
        </w:rPr>
      </w:pPr>
      <w:r w:rsidRPr="0007751F">
        <w:rPr>
          <w:rFonts w:cs="Arial"/>
          <w:b/>
          <w:szCs w:val="24"/>
        </w:rPr>
        <w:t>Community Infrastructure Levy (CIL) Funding</w:t>
      </w:r>
      <w:r w:rsidR="00BA47A1">
        <w:rPr>
          <w:rFonts w:cs="Arial"/>
          <w:b/>
          <w:szCs w:val="24"/>
        </w:rPr>
        <w:t xml:space="preserve"> </w:t>
      </w:r>
    </w:p>
    <w:p w:rsidR="00BA47A1" w:rsidRDefault="00BA47A1" w:rsidP="003841B3">
      <w:pPr>
        <w:tabs>
          <w:tab w:val="num" w:pos="1985"/>
        </w:tabs>
        <w:ind w:left="567" w:hanging="141"/>
        <w:jc w:val="both"/>
        <w:rPr>
          <w:rFonts w:cs="Arial"/>
          <w:b/>
          <w:szCs w:val="24"/>
        </w:rPr>
      </w:pPr>
    </w:p>
    <w:p w:rsidR="00BA47A1" w:rsidRPr="001D2DF5" w:rsidRDefault="00BA47A1" w:rsidP="00BA47A1">
      <w:pPr>
        <w:pStyle w:val="ListParagraph"/>
        <w:keepNext/>
        <w:numPr>
          <w:ilvl w:val="0"/>
          <w:numId w:val="27"/>
        </w:numPr>
        <w:jc w:val="both"/>
      </w:pPr>
      <w:r w:rsidRPr="00F67BDE">
        <w:rPr>
          <w:rFonts w:cs="Arial"/>
          <w:szCs w:val="24"/>
        </w:rPr>
        <w:t xml:space="preserve">The Community Infrastructure Levy (CIL) enables the council to raise funds for infrastructure from new development. It is levied on the net increase in </w:t>
      </w:r>
      <w:proofErr w:type="spellStart"/>
      <w:r w:rsidRPr="00F67BDE">
        <w:rPr>
          <w:rFonts w:cs="Arial"/>
          <w:szCs w:val="24"/>
        </w:rPr>
        <w:t>floorspace</w:t>
      </w:r>
      <w:proofErr w:type="spellEnd"/>
      <w:r w:rsidRPr="00F67BDE">
        <w:rPr>
          <w:rFonts w:cs="Arial"/>
          <w:szCs w:val="24"/>
        </w:rPr>
        <w:t xml:space="preserve"> arising from new development and is paid when that development starts. The Community Infrastructure Levy (CIL) is a tool for local authorities to support the development of their area by funding the provision, improvement, replacement, operation or maintenance of infrastructure. However the focus of CIL is on the delivery of new infrastructure to meet and mitigate the impacts of new development in an area.</w:t>
      </w:r>
      <w:r>
        <w:t xml:space="preserve"> </w:t>
      </w:r>
      <w:r w:rsidRPr="001D2DF5">
        <w:t>CIL receipts can be used to fund a wide ra</w:t>
      </w:r>
      <w:r>
        <w:t>nge of infrastructure 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 list is shown below:</w:t>
      </w:r>
    </w:p>
    <w:p w:rsidR="00BA47A1" w:rsidRDefault="00BA47A1" w:rsidP="003841B3">
      <w:pPr>
        <w:tabs>
          <w:tab w:val="num" w:pos="1985"/>
        </w:tabs>
        <w:ind w:left="567" w:hanging="141"/>
        <w:jc w:val="both"/>
        <w:rPr>
          <w:rFonts w:cs="Arial"/>
          <w:b/>
          <w:szCs w:val="24"/>
        </w:rPr>
      </w:pPr>
    </w:p>
    <w:p w:rsidR="003841B3" w:rsidRPr="001D2DF5" w:rsidRDefault="003841B3" w:rsidP="003841B3">
      <w:pPr>
        <w:keepNext/>
      </w:pPr>
    </w:p>
    <w:p w:rsidR="003841B3" w:rsidRPr="001D2DF5" w:rsidRDefault="003841B3" w:rsidP="003841B3">
      <w:pPr>
        <w:ind w:left="851"/>
      </w:pPr>
      <w:r>
        <w:rPr>
          <w:noProof/>
          <w:szCs w:val="24"/>
          <w:bdr w:val="dotted" w:sz="4" w:space="0" w:color="auto"/>
          <w:lang w:eastAsia="en-GB"/>
        </w:rPr>
        <w:drawing>
          <wp:inline distT="0" distB="0" distL="0" distR="0" wp14:anchorId="606D9EF8" wp14:editId="68787D69">
            <wp:extent cx="4848860" cy="33578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860" cy="3357880"/>
                    </a:xfrm>
                    <a:prstGeom prst="rect">
                      <a:avLst/>
                    </a:prstGeom>
                    <a:noFill/>
                    <a:ln>
                      <a:noFill/>
                    </a:ln>
                  </pic:spPr>
                </pic:pic>
              </a:graphicData>
            </a:graphic>
          </wp:inline>
        </w:drawing>
      </w:r>
    </w:p>
    <w:p w:rsidR="003841B3" w:rsidRDefault="003841B3" w:rsidP="003841B3">
      <w:pPr>
        <w:jc w:val="both"/>
      </w:pPr>
    </w:p>
    <w:p w:rsidR="003841B3" w:rsidRDefault="003841B3" w:rsidP="003841B3">
      <w:pPr>
        <w:pStyle w:val="ListParagraph"/>
        <w:ind w:left="360"/>
        <w:jc w:val="both"/>
      </w:pPr>
    </w:p>
    <w:p w:rsidR="003841B3" w:rsidRPr="000E638E" w:rsidRDefault="003841B3" w:rsidP="00BA47A1">
      <w:pPr>
        <w:pStyle w:val="ListParagraph"/>
        <w:numPr>
          <w:ilvl w:val="0"/>
          <w:numId w:val="27"/>
        </w:numPr>
        <w:tabs>
          <w:tab w:val="clear" w:pos="360"/>
          <w:tab w:val="num" w:pos="567"/>
        </w:tabs>
        <w:ind w:left="567"/>
        <w:jc w:val="both"/>
        <w:rPr>
          <w:lang w:val="en"/>
        </w:rPr>
      </w:pPr>
      <w:r>
        <w:t xml:space="preserve"> </w:t>
      </w:r>
      <w:r w:rsidRPr="005A7ABA">
        <w:rPr>
          <w:lang w:val="en"/>
        </w:rPr>
        <w:t xml:space="preserve">Of all CIL monies collected, 85% is used to fund strategic </w:t>
      </w:r>
      <w:r>
        <w:rPr>
          <w:lang w:val="en"/>
        </w:rPr>
        <w:t xml:space="preserve">borough wide infrastructure projects, which includes a 5% allowance to cover the </w:t>
      </w:r>
      <w:r w:rsidRPr="005A7ABA">
        <w:rPr>
          <w:lang w:val="en"/>
        </w:rPr>
        <w:t>administrati</w:t>
      </w:r>
      <w:r>
        <w:rPr>
          <w:lang w:val="en"/>
        </w:rPr>
        <w:t>ve costs of CIL</w:t>
      </w:r>
      <w:r w:rsidRPr="005A7ABA">
        <w:rPr>
          <w:lang w:val="en"/>
        </w:rPr>
        <w:t xml:space="preserve">. The decisions on where to spend CIL </w:t>
      </w:r>
      <w:r>
        <w:t xml:space="preserve">at a borough-wide level </w:t>
      </w:r>
      <w:r w:rsidRPr="001D2DF5">
        <w:t xml:space="preserve">is determined by the Council. </w:t>
      </w:r>
      <w:r>
        <w:t xml:space="preserve">The remaining 15% is allocated to </w:t>
      </w:r>
      <w:r w:rsidRPr="001D2DF5">
        <w:t xml:space="preserve">Neighbourhood CIL (NCIL) </w:t>
      </w:r>
      <w:r>
        <w:t xml:space="preserve">and </w:t>
      </w:r>
      <w:r w:rsidRPr="001D2DF5">
        <w:t>must be spent on projects that have taken account of the views of the communities in which the income was generated</w:t>
      </w:r>
      <w:r>
        <w:t xml:space="preserve"> and these projects should support the development of the area</w:t>
      </w:r>
      <w:r w:rsidRPr="001D2DF5">
        <w:t>.</w:t>
      </w:r>
      <w:r>
        <w:t xml:space="preserve"> </w:t>
      </w:r>
    </w:p>
    <w:p w:rsidR="003841B3" w:rsidRPr="000E638E" w:rsidRDefault="003841B3" w:rsidP="003841B3">
      <w:pPr>
        <w:pStyle w:val="ListParagraph"/>
        <w:ind w:left="360"/>
        <w:jc w:val="both"/>
        <w:rPr>
          <w:lang w:val="en"/>
        </w:rPr>
      </w:pPr>
    </w:p>
    <w:p w:rsidR="003841B3" w:rsidRDefault="003841B3" w:rsidP="00BA47A1">
      <w:pPr>
        <w:pStyle w:val="ListParagraph"/>
        <w:numPr>
          <w:ilvl w:val="0"/>
          <w:numId w:val="27"/>
        </w:numPr>
        <w:tabs>
          <w:tab w:val="clear" w:pos="360"/>
          <w:tab w:val="num" w:pos="567"/>
        </w:tabs>
        <w:ind w:left="567" w:hanging="567"/>
        <w:jc w:val="both"/>
      </w:pPr>
      <w:r>
        <w:t>A report was presented to the Major Development Panel (MDP) on 14</w:t>
      </w:r>
      <w:r w:rsidRPr="000E638E">
        <w:rPr>
          <w:vertAlign w:val="superscript"/>
        </w:rPr>
        <w:t>th</w:t>
      </w:r>
      <w:r>
        <w:t xml:space="preserve">   November 2017, recommending that the allocation of Borough and Neighbourhood CIL is included as part of the Annual Budget Setting process and included in the Capital Programme report which goes to Cabinet in draft in December and in February </w:t>
      </w:r>
      <w:r w:rsidR="00470F7F">
        <w:t xml:space="preserve">(this report) </w:t>
      </w:r>
      <w:r>
        <w:t xml:space="preserve">in its final version.  The recommendations from the Major Development Panel (MDP) report </w:t>
      </w:r>
      <w:r w:rsidR="00B91DFC">
        <w:t>were</w:t>
      </w:r>
      <w:r>
        <w:t xml:space="preserve"> considered separately at </w:t>
      </w:r>
      <w:r w:rsidR="00B91DFC">
        <w:t xml:space="preserve">the </w:t>
      </w:r>
      <w:r>
        <w:t xml:space="preserve">December </w:t>
      </w:r>
      <w:r w:rsidR="00B91DFC">
        <w:t xml:space="preserve">2017 </w:t>
      </w:r>
      <w:r>
        <w:t xml:space="preserve">Cabinet meeting. </w:t>
      </w:r>
    </w:p>
    <w:p w:rsidR="003841B3" w:rsidRPr="001D2DF5" w:rsidRDefault="003841B3" w:rsidP="003841B3">
      <w:pPr>
        <w:pStyle w:val="ListParagraph"/>
        <w:ind w:left="360"/>
        <w:jc w:val="both"/>
      </w:pPr>
      <w:r>
        <w:t xml:space="preserve"> </w:t>
      </w:r>
    </w:p>
    <w:p w:rsidR="003841B3" w:rsidRPr="00EE6763" w:rsidRDefault="003841B3" w:rsidP="003841B3">
      <w:pPr>
        <w:numPr>
          <w:ilvl w:val="0"/>
          <w:numId w:val="27"/>
        </w:numPr>
        <w:tabs>
          <w:tab w:val="clear" w:pos="360"/>
          <w:tab w:val="num" w:pos="567"/>
          <w:tab w:val="num" w:pos="1985"/>
        </w:tabs>
        <w:ind w:left="567" w:hanging="567"/>
        <w:jc w:val="both"/>
        <w:rPr>
          <w:rFonts w:cs="Arial"/>
          <w:szCs w:val="24"/>
        </w:rPr>
      </w:pPr>
      <w:r>
        <w:t xml:space="preserve">The Borough CIL element will be used to fund the core Capital programme and will be considered as a funding source for the </w:t>
      </w:r>
      <w:r w:rsidR="00470F7F">
        <w:t>existing Capital programme s</w:t>
      </w:r>
      <w:r>
        <w:t xml:space="preserve">et out at Appendix </w:t>
      </w:r>
      <w:r w:rsidR="00470F7F">
        <w:t>1</w:t>
      </w:r>
      <w:r>
        <w:t>.</w:t>
      </w:r>
    </w:p>
    <w:p w:rsidR="003841B3" w:rsidRDefault="003841B3" w:rsidP="003841B3">
      <w:pPr>
        <w:pStyle w:val="ListParagraph"/>
      </w:pPr>
    </w:p>
    <w:p w:rsidR="003841B3" w:rsidRPr="00CB13B8" w:rsidRDefault="003841B3" w:rsidP="003841B3">
      <w:pPr>
        <w:numPr>
          <w:ilvl w:val="0"/>
          <w:numId w:val="27"/>
        </w:numPr>
        <w:tabs>
          <w:tab w:val="clear" w:pos="360"/>
          <w:tab w:val="num" w:pos="426"/>
          <w:tab w:val="num" w:pos="1985"/>
        </w:tabs>
        <w:ind w:left="567" w:hanging="567"/>
        <w:jc w:val="both"/>
        <w:rPr>
          <w:rFonts w:cs="Arial"/>
          <w:szCs w:val="24"/>
        </w:rPr>
      </w:pPr>
      <w:r>
        <w:t xml:space="preserve"> </w:t>
      </w:r>
      <w:r w:rsidRPr="00285003">
        <w:t xml:space="preserve">The Neighbourhood element of CIL </w:t>
      </w:r>
      <w:r w:rsidR="00B91DFC">
        <w:t xml:space="preserve">has been </w:t>
      </w:r>
      <w:r w:rsidRPr="00285003">
        <w:t xml:space="preserve">included in the Capital Programme </w:t>
      </w:r>
      <w:r>
        <w:t xml:space="preserve">as </w:t>
      </w:r>
      <w:r w:rsidRPr="00285003">
        <w:t>a broad allocation to indicate the total amount of NCIL available</w:t>
      </w:r>
      <w:r>
        <w:t>.</w:t>
      </w:r>
      <w:r w:rsidRPr="00285003">
        <w:t xml:space="preserve"> </w:t>
      </w:r>
      <w:r>
        <w:t xml:space="preserve">A sum of £800k </w:t>
      </w:r>
      <w:r w:rsidR="00793188">
        <w:t>has</w:t>
      </w:r>
      <w:r>
        <w:t xml:space="preserve"> be</w:t>
      </w:r>
      <w:r w:rsidR="00793188">
        <w:t>en</w:t>
      </w:r>
      <w:r>
        <w:t xml:space="preserve"> included in the 2018/19 Capital Programme. A sum of £200k has also been included for 2017/18 as reported in the revenue and Capital monitoring report Quarter 2</w:t>
      </w:r>
      <w:r w:rsidR="009F6126">
        <w:t xml:space="preserve"> which went to Cabinet in December 2017</w:t>
      </w:r>
      <w:r>
        <w:t xml:space="preserve">. Both sums will be funded by the NCIL payments already received to date.  Yearly allocations of NCIL will </w:t>
      </w:r>
      <w:r>
        <w:lastRenderedPageBreak/>
        <w:t xml:space="preserve">be added to the Capital Programme, subject to confirmation of likely CIL receipts. </w:t>
      </w:r>
    </w:p>
    <w:p w:rsidR="00B91DFC" w:rsidRDefault="00B91DFC" w:rsidP="00BA47A1">
      <w:pPr>
        <w:pStyle w:val="ListParagraph"/>
        <w:rPr>
          <w:rFonts w:cs="Arial"/>
          <w:szCs w:val="24"/>
        </w:rPr>
      </w:pPr>
    </w:p>
    <w:p w:rsidR="00B91DFC" w:rsidRPr="00835C20" w:rsidRDefault="008915DA" w:rsidP="003841B3">
      <w:pPr>
        <w:numPr>
          <w:ilvl w:val="0"/>
          <w:numId w:val="27"/>
        </w:numPr>
        <w:tabs>
          <w:tab w:val="clear" w:pos="360"/>
          <w:tab w:val="num" w:pos="426"/>
          <w:tab w:val="num" w:pos="1985"/>
        </w:tabs>
        <w:ind w:left="567" w:hanging="567"/>
        <w:jc w:val="both"/>
        <w:rPr>
          <w:rFonts w:cs="Arial"/>
          <w:szCs w:val="24"/>
        </w:rPr>
      </w:pPr>
      <w:r>
        <w:rPr>
          <w:rFonts w:cs="Arial"/>
          <w:szCs w:val="24"/>
        </w:rPr>
        <w:t xml:space="preserve"> </w:t>
      </w:r>
      <w:r w:rsidR="00B91DFC">
        <w:rPr>
          <w:rFonts w:cs="Arial"/>
          <w:szCs w:val="24"/>
        </w:rPr>
        <w:t xml:space="preserve">In addition, there are 2 specific schemes in Appendix 2 which have an element of CIL funding included; </w:t>
      </w:r>
      <w:r>
        <w:rPr>
          <w:rFonts w:cs="Arial"/>
          <w:szCs w:val="24"/>
        </w:rPr>
        <w:t xml:space="preserve"> Headstone Manor –Park for the People Project has £300k of BCIL funding included (paragraph 2</w:t>
      </w:r>
      <w:r w:rsidR="00326C38">
        <w:rPr>
          <w:rFonts w:cs="Arial"/>
          <w:szCs w:val="24"/>
        </w:rPr>
        <w:t>6</w:t>
      </w:r>
      <w:r>
        <w:rPr>
          <w:rFonts w:cs="Arial"/>
          <w:szCs w:val="24"/>
        </w:rPr>
        <w:t>) and Lyon Road Pop-up Restaurant and Square has £75k of NCIL included (paragraph 2</w:t>
      </w:r>
      <w:r w:rsidR="00326C38">
        <w:rPr>
          <w:rFonts w:cs="Arial"/>
          <w:szCs w:val="24"/>
        </w:rPr>
        <w:t>9</w:t>
      </w:r>
      <w:r>
        <w:rPr>
          <w:rFonts w:cs="Arial"/>
          <w:szCs w:val="24"/>
        </w:rPr>
        <w:t>).</w:t>
      </w:r>
    </w:p>
    <w:p w:rsidR="003841B3" w:rsidRDefault="003841B3" w:rsidP="003841B3">
      <w:pPr>
        <w:pStyle w:val="ListParagraph"/>
      </w:pPr>
    </w:p>
    <w:p w:rsidR="003841B3" w:rsidRPr="002A4BBF" w:rsidRDefault="003841B3" w:rsidP="003841B3">
      <w:pPr>
        <w:numPr>
          <w:ilvl w:val="0"/>
          <w:numId w:val="27"/>
        </w:numPr>
        <w:tabs>
          <w:tab w:val="clear" w:pos="360"/>
          <w:tab w:val="num" w:pos="426"/>
          <w:tab w:val="num" w:pos="1985"/>
        </w:tabs>
        <w:ind w:left="567" w:hanging="567"/>
        <w:jc w:val="both"/>
        <w:rPr>
          <w:rFonts w:cs="Arial"/>
          <w:szCs w:val="24"/>
        </w:rPr>
      </w:pPr>
      <w:r>
        <w:t xml:space="preserve">  Specific projects to be funded by NCIL will be put forward by the relevant Directorates / Ward members and assessed against the criteria outlined in the CIL Allocations report</w:t>
      </w:r>
      <w:r w:rsidR="009F6126">
        <w:t>.</w:t>
      </w:r>
      <w:r>
        <w:t xml:space="preserve"> The</w:t>
      </w:r>
      <w:r w:rsidRPr="00285003">
        <w:t xml:space="preserve"> final decision on what projects are funded from the agreed </w:t>
      </w:r>
      <w:r>
        <w:t>N</w:t>
      </w:r>
      <w:r w:rsidRPr="00285003">
        <w:t xml:space="preserve">CIL allocations </w:t>
      </w:r>
      <w:r>
        <w:t>will be</w:t>
      </w:r>
      <w:r w:rsidRPr="00285003">
        <w:t xml:space="preserve"> delegated to the Divisional Director – Regeneration and Planning, in consultation with the Portfolio Holders for Regeneration and Planning, and Finance and Commercialisation.</w:t>
      </w:r>
    </w:p>
    <w:p w:rsidR="003841B3" w:rsidRPr="00576CCD" w:rsidRDefault="003841B3" w:rsidP="003841B3">
      <w:pPr>
        <w:tabs>
          <w:tab w:val="num" w:pos="1985"/>
        </w:tabs>
        <w:ind w:left="567"/>
        <w:jc w:val="both"/>
        <w:rPr>
          <w:rFonts w:cs="Arial"/>
          <w:szCs w:val="24"/>
        </w:rPr>
      </w:pPr>
    </w:p>
    <w:p w:rsidR="003841B3" w:rsidRPr="002A4BBF" w:rsidRDefault="003841B3" w:rsidP="003841B3">
      <w:pPr>
        <w:numPr>
          <w:ilvl w:val="0"/>
          <w:numId w:val="27"/>
        </w:numPr>
        <w:tabs>
          <w:tab w:val="clear" w:pos="360"/>
          <w:tab w:val="num" w:pos="426"/>
          <w:tab w:val="num" w:pos="1985"/>
        </w:tabs>
        <w:ind w:left="567" w:hanging="567"/>
        <w:jc w:val="both"/>
        <w:rPr>
          <w:rFonts w:cs="Arial"/>
          <w:szCs w:val="24"/>
        </w:rPr>
      </w:pPr>
      <w:r w:rsidRPr="000E638E">
        <w:rPr>
          <w:rFonts w:cs="Arial"/>
          <w:szCs w:val="24"/>
        </w:rPr>
        <w:t xml:space="preserve"> </w:t>
      </w:r>
      <w:r w:rsidRPr="00285003">
        <w:rPr>
          <w:rFonts w:cs="Arial"/>
          <w:szCs w:val="24"/>
        </w:rPr>
        <w:t xml:space="preserve"> </w:t>
      </w:r>
      <w:r w:rsidRPr="00285003">
        <w:t>Recognising the growing CIL balance and pressures on the Council’s overall financial position, as part of the 2017/18 Budget setting, Cabinet agreed on 16th February 2017 to allocate £4.8 million of CIL funds over a 2 year period on Highway improvements.</w:t>
      </w:r>
    </w:p>
    <w:p w:rsidR="003841B3" w:rsidRPr="000E638E" w:rsidRDefault="003841B3" w:rsidP="003841B3">
      <w:pPr>
        <w:pStyle w:val="ListParagraph"/>
        <w:rPr>
          <w:rFonts w:cs="Arial"/>
          <w:szCs w:val="24"/>
        </w:rPr>
      </w:pPr>
    </w:p>
    <w:p w:rsidR="003841B3" w:rsidRPr="002A4BBF" w:rsidRDefault="003841B3" w:rsidP="003841B3">
      <w:pPr>
        <w:numPr>
          <w:ilvl w:val="0"/>
          <w:numId w:val="27"/>
        </w:numPr>
        <w:tabs>
          <w:tab w:val="clear" w:pos="360"/>
          <w:tab w:val="num" w:pos="1985"/>
        </w:tabs>
        <w:ind w:left="567" w:hanging="567"/>
        <w:jc w:val="both"/>
        <w:rPr>
          <w:rFonts w:cs="Arial"/>
          <w:szCs w:val="24"/>
        </w:rPr>
      </w:pPr>
      <w:r w:rsidRPr="000E638E">
        <w:rPr>
          <w:rFonts w:cs="Arial"/>
          <w:szCs w:val="24"/>
        </w:rPr>
        <w:t>After allowing</w:t>
      </w:r>
      <w:r w:rsidRPr="00576CCD">
        <w:rPr>
          <w:rFonts w:cs="Arial"/>
          <w:szCs w:val="24"/>
        </w:rPr>
        <w:t xml:space="preserve"> for the allocation of £4.</w:t>
      </w:r>
      <w:r>
        <w:rPr>
          <w:rFonts w:cs="Arial"/>
          <w:szCs w:val="24"/>
        </w:rPr>
        <w:t xml:space="preserve">8m, there </w:t>
      </w:r>
      <w:r w:rsidR="005F65F4">
        <w:rPr>
          <w:rFonts w:cs="Arial"/>
          <w:szCs w:val="24"/>
        </w:rPr>
        <w:t xml:space="preserve">was </w:t>
      </w:r>
      <w:r>
        <w:rPr>
          <w:rFonts w:cs="Arial"/>
          <w:szCs w:val="24"/>
        </w:rPr>
        <w:t xml:space="preserve">still a balance   remaining </w:t>
      </w:r>
      <w:r w:rsidRPr="00B420FE">
        <w:t>from</w:t>
      </w:r>
      <w:r>
        <w:t xml:space="preserve"> the monies collected as at 31</w:t>
      </w:r>
      <w:r w:rsidRPr="000E638E">
        <w:rPr>
          <w:vertAlign w:val="superscript"/>
        </w:rPr>
        <w:t>st</w:t>
      </w:r>
      <w:r>
        <w:t xml:space="preserve"> March 2017 of </w:t>
      </w:r>
      <w:r w:rsidRPr="00B420FE">
        <w:t>£1</w:t>
      </w:r>
      <w:r>
        <w:t>06,055</w:t>
      </w:r>
      <w:r w:rsidRPr="00B420FE">
        <w:t xml:space="preserve"> </w:t>
      </w:r>
      <w:r>
        <w:t xml:space="preserve">in relation to BCIL </w:t>
      </w:r>
      <w:r w:rsidRPr="00B420FE">
        <w:t>to spend</w:t>
      </w:r>
      <w:r>
        <w:t xml:space="preserve"> (once the NCIL and CIL administration top slice is deducted)</w:t>
      </w:r>
      <w:r w:rsidRPr="00B420FE">
        <w:t>.</w:t>
      </w:r>
      <w:r>
        <w:t xml:space="preserve"> In addition, at 31</w:t>
      </w:r>
      <w:r w:rsidRPr="000E638E">
        <w:rPr>
          <w:vertAlign w:val="superscript"/>
        </w:rPr>
        <w:t>st</w:t>
      </w:r>
      <w:r>
        <w:t xml:space="preserve"> October 2017, a further £2.403 million of Harrow CIL had been received during the 2017/18 financial year, representing £1.922 million of Borough-wide CIL once Neighbourhood CIL and administration top-slice is deducted.  This totals £2.028m of BCIL. This figure represents the income received to date and so will be higher by the 31</w:t>
      </w:r>
      <w:r w:rsidRPr="000E638E">
        <w:rPr>
          <w:vertAlign w:val="superscript"/>
        </w:rPr>
        <w:t>st</w:t>
      </w:r>
      <w:r>
        <w:t xml:space="preserve"> March 2018.</w:t>
      </w:r>
    </w:p>
    <w:p w:rsidR="003841B3" w:rsidRDefault="003841B3" w:rsidP="003841B3">
      <w:pPr>
        <w:pStyle w:val="ListParagraph"/>
      </w:pPr>
    </w:p>
    <w:p w:rsidR="003841B3" w:rsidRPr="00610D69" w:rsidRDefault="003841B3" w:rsidP="003841B3">
      <w:pPr>
        <w:numPr>
          <w:ilvl w:val="0"/>
          <w:numId w:val="27"/>
        </w:numPr>
        <w:tabs>
          <w:tab w:val="clear" w:pos="360"/>
          <w:tab w:val="num" w:pos="1985"/>
        </w:tabs>
        <w:ind w:left="567" w:hanging="567"/>
        <w:jc w:val="both"/>
        <w:rPr>
          <w:rFonts w:cs="Arial"/>
          <w:szCs w:val="24"/>
        </w:rPr>
      </w:pPr>
      <w:r>
        <w:t xml:space="preserve">As BCIL becomes available in future years it will be applied as a funding source for the Capital Programme. </w:t>
      </w:r>
    </w:p>
    <w:p w:rsidR="00B62BA0" w:rsidRDefault="00B62BA0" w:rsidP="00BA47A1">
      <w:pPr>
        <w:pStyle w:val="ListParagraph"/>
        <w:rPr>
          <w:rFonts w:cs="Arial"/>
          <w:szCs w:val="24"/>
        </w:rPr>
      </w:pPr>
    </w:p>
    <w:p w:rsidR="00B57442" w:rsidRPr="000C14C9" w:rsidRDefault="00227FA6" w:rsidP="00B57442">
      <w:pPr>
        <w:tabs>
          <w:tab w:val="num" w:pos="1560"/>
        </w:tabs>
        <w:ind w:left="567"/>
        <w:jc w:val="both"/>
        <w:rPr>
          <w:b/>
        </w:rPr>
      </w:pPr>
      <w:r>
        <w:rPr>
          <w:b/>
        </w:rPr>
        <w:t xml:space="preserve">The </w:t>
      </w:r>
      <w:r w:rsidR="001D438F" w:rsidRPr="000C14C9">
        <w:rPr>
          <w:b/>
        </w:rPr>
        <w:t xml:space="preserve">Capital programme </w:t>
      </w:r>
      <w:r>
        <w:rPr>
          <w:b/>
        </w:rPr>
        <w:t>201</w:t>
      </w:r>
      <w:r w:rsidR="003841B3">
        <w:rPr>
          <w:b/>
        </w:rPr>
        <w:t>8</w:t>
      </w:r>
      <w:r>
        <w:rPr>
          <w:b/>
        </w:rPr>
        <w:t>/1</w:t>
      </w:r>
      <w:r w:rsidR="003841B3">
        <w:rPr>
          <w:b/>
        </w:rPr>
        <w:t>9</w:t>
      </w:r>
      <w:r>
        <w:rPr>
          <w:b/>
        </w:rPr>
        <w:t xml:space="preserve"> to 20</w:t>
      </w:r>
      <w:r w:rsidR="003841B3">
        <w:rPr>
          <w:b/>
        </w:rPr>
        <w:t>20</w:t>
      </w:r>
      <w:r>
        <w:rPr>
          <w:b/>
        </w:rPr>
        <w:t>/2</w:t>
      </w:r>
      <w:r w:rsidR="003841B3">
        <w:rPr>
          <w:b/>
        </w:rPr>
        <w:t>1</w:t>
      </w:r>
      <w:r w:rsidR="001D438F" w:rsidRPr="000C14C9">
        <w:rPr>
          <w:b/>
        </w:rPr>
        <w:t xml:space="preserve"> </w:t>
      </w:r>
    </w:p>
    <w:p w:rsidR="00646600" w:rsidRPr="00684A84" w:rsidRDefault="00227FA6" w:rsidP="00253BB4">
      <w:pPr>
        <w:numPr>
          <w:ilvl w:val="0"/>
          <w:numId w:val="27"/>
        </w:numPr>
        <w:tabs>
          <w:tab w:val="clear" w:pos="360"/>
          <w:tab w:val="num" w:pos="993"/>
          <w:tab w:val="num" w:pos="1560"/>
        </w:tabs>
        <w:ind w:left="567" w:hanging="567"/>
        <w:jc w:val="both"/>
      </w:pPr>
      <w:r w:rsidRPr="001753D8">
        <w:rPr>
          <w:rFonts w:cs="Arial"/>
          <w:szCs w:val="24"/>
        </w:rPr>
        <w:t>The final Capital programme report submitted to Cabinet and Council in February each year</w:t>
      </w:r>
      <w:r w:rsidR="00FD7075" w:rsidRPr="001753D8">
        <w:rPr>
          <w:rFonts w:cs="Arial"/>
          <w:szCs w:val="24"/>
        </w:rPr>
        <w:t xml:space="preserve"> sets out spending plans for the period of the MTFS</w:t>
      </w:r>
      <w:r w:rsidR="008915DA">
        <w:rPr>
          <w:rFonts w:cs="Arial"/>
          <w:szCs w:val="24"/>
        </w:rPr>
        <w:t>,</w:t>
      </w:r>
      <w:r w:rsidR="00FD7075" w:rsidRPr="001753D8">
        <w:rPr>
          <w:rFonts w:cs="Arial"/>
          <w:szCs w:val="24"/>
        </w:rPr>
        <w:t xml:space="preserve"> so usually 3</w:t>
      </w:r>
      <w:r w:rsidR="005F65F4">
        <w:rPr>
          <w:rFonts w:cs="Arial"/>
          <w:szCs w:val="24"/>
        </w:rPr>
        <w:t xml:space="preserve"> yea</w:t>
      </w:r>
      <w:r w:rsidR="00FD7075" w:rsidRPr="001753D8">
        <w:rPr>
          <w:rFonts w:cs="Arial"/>
          <w:szCs w:val="24"/>
        </w:rPr>
        <w:t xml:space="preserve">rs. </w:t>
      </w:r>
      <w:r w:rsidR="001753D8" w:rsidRPr="001753D8">
        <w:rPr>
          <w:rFonts w:cs="Arial"/>
          <w:szCs w:val="24"/>
        </w:rPr>
        <w:t xml:space="preserve">Once the Capital Programme is agreed by Cabinet and Council in February each year, the Capital programme is reviewed as part of the Annual Budget Setting process. </w:t>
      </w:r>
      <w:r w:rsidR="00FD7075" w:rsidRPr="001753D8">
        <w:rPr>
          <w:rFonts w:cs="Arial"/>
          <w:szCs w:val="24"/>
        </w:rPr>
        <w:t>This</w:t>
      </w:r>
      <w:r w:rsidRPr="001753D8">
        <w:rPr>
          <w:rFonts w:cs="Arial"/>
          <w:szCs w:val="24"/>
        </w:rPr>
        <w:t xml:space="preserve"> gives Directorates the opportunity to re-align the Capital Programme agreed in the previous February with their latest estimates of the spending profile of the projects.  </w:t>
      </w:r>
    </w:p>
    <w:p w:rsidR="001753D8" w:rsidRPr="00684A84" w:rsidRDefault="001753D8" w:rsidP="00253BB4">
      <w:pPr>
        <w:tabs>
          <w:tab w:val="num" w:pos="1560"/>
        </w:tabs>
        <w:ind w:left="567"/>
        <w:jc w:val="both"/>
      </w:pPr>
    </w:p>
    <w:p w:rsidR="009151D2" w:rsidRPr="00002347" w:rsidRDefault="009151D2" w:rsidP="00253BB4">
      <w:pPr>
        <w:numPr>
          <w:ilvl w:val="0"/>
          <w:numId w:val="27"/>
        </w:numPr>
        <w:tabs>
          <w:tab w:val="clear" w:pos="360"/>
          <w:tab w:val="num" w:pos="993"/>
          <w:tab w:val="num" w:pos="1560"/>
        </w:tabs>
        <w:ind w:left="567" w:hanging="567"/>
        <w:jc w:val="both"/>
      </w:pPr>
      <w:r w:rsidRPr="001753D8">
        <w:rPr>
          <w:rFonts w:cs="Arial"/>
          <w:szCs w:val="24"/>
        </w:rPr>
        <w:t xml:space="preserve">The impact </w:t>
      </w:r>
      <w:r w:rsidR="001753D8">
        <w:rPr>
          <w:rFonts w:cs="Arial"/>
          <w:szCs w:val="24"/>
        </w:rPr>
        <w:t xml:space="preserve">of re-profiling of spending between years </w:t>
      </w:r>
      <w:r w:rsidRPr="001753D8">
        <w:rPr>
          <w:rFonts w:cs="Arial"/>
          <w:szCs w:val="24"/>
        </w:rPr>
        <w:t xml:space="preserve">is </w:t>
      </w:r>
      <w:r w:rsidR="001753D8">
        <w:rPr>
          <w:rFonts w:cs="Arial"/>
          <w:szCs w:val="24"/>
        </w:rPr>
        <w:t xml:space="preserve">cost </w:t>
      </w:r>
      <w:r w:rsidRPr="001753D8">
        <w:rPr>
          <w:rFonts w:cs="Arial"/>
          <w:szCs w:val="24"/>
        </w:rPr>
        <w:t xml:space="preserve">neutral across the </w:t>
      </w:r>
      <w:r w:rsidR="005F65F4">
        <w:rPr>
          <w:rFonts w:cs="Arial"/>
          <w:szCs w:val="24"/>
        </w:rPr>
        <w:t xml:space="preserve">financial </w:t>
      </w:r>
      <w:r w:rsidRPr="001753D8">
        <w:rPr>
          <w:rFonts w:cs="Arial"/>
          <w:szCs w:val="24"/>
        </w:rPr>
        <w:t xml:space="preserve">years and all capital financing costs are already included in the </w:t>
      </w:r>
      <w:r w:rsidR="00D47AA9" w:rsidRPr="001753D8">
        <w:rPr>
          <w:rFonts w:cs="Arial"/>
          <w:szCs w:val="24"/>
        </w:rPr>
        <w:t>r</w:t>
      </w:r>
      <w:r w:rsidRPr="001753D8">
        <w:rPr>
          <w:rFonts w:cs="Arial"/>
          <w:szCs w:val="24"/>
        </w:rPr>
        <w:t xml:space="preserve">evenue budget. </w:t>
      </w:r>
      <w:r w:rsidR="00D47AA9" w:rsidRPr="003E097B">
        <w:rPr>
          <w:rFonts w:cs="Arial"/>
          <w:szCs w:val="24"/>
        </w:rPr>
        <w:t>T</w:t>
      </w:r>
      <w:r w:rsidRPr="003E097B">
        <w:rPr>
          <w:rFonts w:cs="Arial"/>
          <w:szCs w:val="24"/>
        </w:rPr>
        <w:t xml:space="preserve">able </w:t>
      </w:r>
      <w:r w:rsidR="00D47AA9" w:rsidRPr="003E097B">
        <w:rPr>
          <w:rFonts w:cs="Arial"/>
          <w:szCs w:val="24"/>
        </w:rPr>
        <w:t xml:space="preserve">3 </w:t>
      </w:r>
      <w:r w:rsidRPr="003E097B">
        <w:rPr>
          <w:rFonts w:cs="Arial"/>
          <w:szCs w:val="24"/>
        </w:rPr>
        <w:t>sets out the movement between the financial years</w:t>
      </w:r>
      <w:r w:rsidR="007C49E5" w:rsidRPr="003E097B">
        <w:rPr>
          <w:rFonts w:cs="Arial"/>
          <w:szCs w:val="24"/>
        </w:rPr>
        <w:t xml:space="preserve"> with the detail</w:t>
      </w:r>
      <w:r w:rsidR="00684A84">
        <w:rPr>
          <w:rFonts w:cs="Arial"/>
          <w:szCs w:val="24"/>
        </w:rPr>
        <w:t xml:space="preserve">ed Capital Programme </w:t>
      </w:r>
      <w:r w:rsidR="003628D7">
        <w:rPr>
          <w:rFonts w:cs="Arial"/>
          <w:szCs w:val="24"/>
        </w:rPr>
        <w:t xml:space="preserve">provided </w:t>
      </w:r>
      <w:r w:rsidR="007C49E5" w:rsidRPr="003E097B">
        <w:rPr>
          <w:rFonts w:cs="Arial"/>
          <w:szCs w:val="24"/>
        </w:rPr>
        <w:t xml:space="preserve">in Appendix </w:t>
      </w:r>
      <w:r w:rsidR="003E097B">
        <w:rPr>
          <w:rFonts w:cs="Arial"/>
          <w:szCs w:val="24"/>
        </w:rPr>
        <w:t>1</w:t>
      </w:r>
      <w:r w:rsidR="003628D7">
        <w:rPr>
          <w:rFonts w:cs="Arial"/>
          <w:szCs w:val="24"/>
        </w:rPr>
        <w:t xml:space="preserve"> which also includes the additions set out separately in Appendix 2</w:t>
      </w:r>
      <w:r w:rsidRPr="003E097B">
        <w:rPr>
          <w:rFonts w:cs="Arial"/>
          <w:szCs w:val="24"/>
        </w:rPr>
        <w:t>:</w:t>
      </w:r>
    </w:p>
    <w:p w:rsidR="00002347" w:rsidRDefault="00002347" w:rsidP="00662DEC">
      <w:pPr>
        <w:pStyle w:val="ListParagraph"/>
      </w:pPr>
    </w:p>
    <w:p w:rsidR="00002347" w:rsidRPr="00CB13B8" w:rsidRDefault="002E5E0B" w:rsidP="00662DEC">
      <w:pPr>
        <w:tabs>
          <w:tab w:val="num" w:pos="567"/>
        </w:tabs>
        <w:jc w:val="both"/>
      </w:pPr>
      <w:r w:rsidRPr="002E5E0B">
        <w:rPr>
          <w:noProof/>
          <w:lang w:eastAsia="en-GB"/>
        </w:rPr>
        <w:lastRenderedPageBreak/>
        <w:drawing>
          <wp:inline distT="0" distB="0" distL="0" distR="0" wp14:anchorId="717025DE" wp14:editId="7669B818">
            <wp:extent cx="5268967" cy="3496236"/>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15" cy="3501046"/>
                    </a:xfrm>
                    <a:prstGeom prst="rect">
                      <a:avLst/>
                    </a:prstGeom>
                    <a:noFill/>
                    <a:ln>
                      <a:noFill/>
                    </a:ln>
                  </pic:spPr>
                </pic:pic>
              </a:graphicData>
            </a:graphic>
          </wp:inline>
        </w:drawing>
      </w:r>
    </w:p>
    <w:p w:rsidR="0062345D" w:rsidRDefault="0062345D" w:rsidP="00BA47A1">
      <w:pPr>
        <w:pStyle w:val="ListParagraph"/>
      </w:pPr>
    </w:p>
    <w:tbl>
      <w:tblPr>
        <w:tblW w:w="4334" w:type="dxa"/>
        <w:tblInd w:w="93" w:type="dxa"/>
        <w:tblLook w:val="04A0" w:firstRow="1" w:lastRow="0" w:firstColumn="1" w:lastColumn="0" w:noHBand="0" w:noVBand="1"/>
      </w:tblPr>
      <w:tblGrid>
        <w:gridCol w:w="1012"/>
        <w:gridCol w:w="1054"/>
        <w:gridCol w:w="1134"/>
        <w:gridCol w:w="1134"/>
      </w:tblGrid>
      <w:tr w:rsidR="00F827BC" w:rsidRPr="00B74FD0" w:rsidTr="00662DEC">
        <w:trPr>
          <w:trHeight w:val="300"/>
        </w:trPr>
        <w:tc>
          <w:tcPr>
            <w:tcW w:w="1012" w:type="dxa"/>
            <w:tcBorders>
              <w:top w:val="nil"/>
              <w:left w:val="nil"/>
              <w:bottom w:val="nil"/>
              <w:right w:val="nil"/>
            </w:tcBorders>
            <w:shd w:val="clear" w:color="auto" w:fill="auto"/>
            <w:noWrap/>
            <w:vAlign w:val="bottom"/>
          </w:tcPr>
          <w:p w:rsidR="00F827BC" w:rsidRPr="00B74FD0" w:rsidRDefault="00F827BC" w:rsidP="00B74FD0">
            <w:pPr>
              <w:rPr>
                <w:rFonts w:cs="Arial"/>
                <w:sz w:val="22"/>
                <w:szCs w:val="22"/>
                <w:lang w:eastAsia="en-GB"/>
              </w:rPr>
            </w:pPr>
          </w:p>
        </w:tc>
        <w:tc>
          <w:tcPr>
            <w:tcW w:w="1054" w:type="dxa"/>
            <w:tcBorders>
              <w:top w:val="nil"/>
              <w:left w:val="nil"/>
              <w:bottom w:val="nil"/>
              <w:right w:val="nil"/>
            </w:tcBorders>
            <w:shd w:val="clear" w:color="auto" w:fill="auto"/>
            <w:noWrap/>
            <w:vAlign w:val="bottom"/>
            <w:hideMark/>
          </w:tcPr>
          <w:p w:rsidR="00F827BC" w:rsidRPr="00B74FD0" w:rsidRDefault="00F827BC" w:rsidP="00B74FD0">
            <w:pPr>
              <w:rPr>
                <w:rFonts w:cs="Arial"/>
                <w:sz w:val="22"/>
                <w:szCs w:val="22"/>
                <w:lang w:eastAsia="en-GB"/>
              </w:rPr>
            </w:pPr>
          </w:p>
        </w:tc>
        <w:tc>
          <w:tcPr>
            <w:tcW w:w="1134" w:type="dxa"/>
            <w:tcBorders>
              <w:top w:val="nil"/>
              <w:left w:val="nil"/>
              <w:bottom w:val="nil"/>
              <w:right w:val="nil"/>
            </w:tcBorders>
            <w:shd w:val="clear" w:color="auto" w:fill="auto"/>
            <w:noWrap/>
            <w:vAlign w:val="bottom"/>
            <w:hideMark/>
          </w:tcPr>
          <w:p w:rsidR="00F827BC" w:rsidRPr="00B74FD0" w:rsidRDefault="00F827BC" w:rsidP="00B74FD0">
            <w:pPr>
              <w:rPr>
                <w:rFonts w:cs="Arial"/>
                <w:sz w:val="22"/>
                <w:szCs w:val="22"/>
                <w:lang w:eastAsia="en-GB"/>
              </w:rPr>
            </w:pPr>
          </w:p>
        </w:tc>
        <w:tc>
          <w:tcPr>
            <w:tcW w:w="1134" w:type="dxa"/>
            <w:tcBorders>
              <w:top w:val="nil"/>
              <w:left w:val="nil"/>
              <w:bottom w:val="nil"/>
              <w:right w:val="nil"/>
            </w:tcBorders>
            <w:shd w:val="clear" w:color="auto" w:fill="auto"/>
            <w:noWrap/>
            <w:vAlign w:val="bottom"/>
            <w:hideMark/>
          </w:tcPr>
          <w:p w:rsidR="00F827BC" w:rsidRPr="00B74FD0" w:rsidRDefault="00F827BC" w:rsidP="00B74FD0">
            <w:pPr>
              <w:rPr>
                <w:rFonts w:cs="Arial"/>
                <w:sz w:val="22"/>
                <w:szCs w:val="22"/>
                <w:lang w:eastAsia="en-GB"/>
              </w:rPr>
            </w:pPr>
          </w:p>
        </w:tc>
      </w:tr>
    </w:tbl>
    <w:p w:rsidR="005B7D2C" w:rsidRDefault="003628D7" w:rsidP="00253BB4">
      <w:pPr>
        <w:numPr>
          <w:ilvl w:val="0"/>
          <w:numId w:val="27"/>
        </w:numPr>
        <w:tabs>
          <w:tab w:val="clear" w:pos="360"/>
          <w:tab w:val="num" w:pos="993"/>
          <w:tab w:val="num" w:pos="1560"/>
        </w:tabs>
        <w:ind w:left="567" w:hanging="567"/>
        <w:jc w:val="both"/>
      </w:pPr>
      <w:r w:rsidRPr="00F827BC">
        <w:t>The total Capital Programme set out in Appendix 1</w:t>
      </w:r>
      <w:r w:rsidR="00815E22">
        <w:t xml:space="preserve"> and in Table 3 above</w:t>
      </w:r>
      <w:r w:rsidRPr="00F827BC">
        <w:t xml:space="preserve">, incorporates the </w:t>
      </w:r>
      <w:r w:rsidR="00F827BC" w:rsidRPr="00BA47A1">
        <w:t xml:space="preserve">revised </w:t>
      </w:r>
      <w:r w:rsidRPr="00F827BC">
        <w:t>Regeneration Programme</w:t>
      </w:r>
      <w:r w:rsidR="005B7D2C">
        <w:t>.  The movement in the programme</w:t>
      </w:r>
      <w:r w:rsidR="00F827BC">
        <w:t xml:space="preserve"> shows</w:t>
      </w:r>
      <w:r w:rsidR="005B7D2C">
        <w:t>:</w:t>
      </w:r>
    </w:p>
    <w:p w:rsidR="00306450" w:rsidRDefault="00306450" w:rsidP="00662DEC">
      <w:pPr>
        <w:tabs>
          <w:tab w:val="num" w:pos="1560"/>
        </w:tabs>
        <w:ind w:left="567"/>
        <w:jc w:val="both"/>
      </w:pPr>
    </w:p>
    <w:p w:rsidR="005B7D2C" w:rsidRDefault="002E5E0B" w:rsidP="00BA47A1">
      <w:pPr>
        <w:pStyle w:val="ListParagraph"/>
        <w:numPr>
          <w:ilvl w:val="0"/>
          <w:numId w:val="41"/>
        </w:numPr>
        <w:jc w:val="both"/>
      </w:pPr>
      <w:r w:rsidRPr="00815E22">
        <w:t>Reductions</w:t>
      </w:r>
      <w:r w:rsidR="00F84AA2" w:rsidRPr="00815E22">
        <w:t xml:space="preserve"> made in 201</w:t>
      </w:r>
      <w:r w:rsidR="00F827BC" w:rsidRPr="00BA47A1">
        <w:t>8</w:t>
      </w:r>
      <w:r w:rsidR="00F84AA2" w:rsidRPr="00815E22">
        <w:t>/1</w:t>
      </w:r>
      <w:r w:rsidR="00F827BC" w:rsidRPr="00BA47A1">
        <w:t>9 and 2019/20</w:t>
      </w:r>
      <w:r w:rsidR="00F84AA2" w:rsidRPr="00815E22">
        <w:t xml:space="preserve"> which total £</w:t>
      </w:r>
      <w:r w:rsidR="00F827BC" w:rsidRPr="00BA47A1">
        <w:t>4.636</w:t>
      </w:r>
      <w:r w:rsidR="00F84AA2" w:rsidRPr="00815E22">
        <w:t>m</w:t>
      </w:r>
      <w:r w:rsidR="009B03F9" w:rsidRPr="00815E22">
        <w:t>.</w:t>
      </w:r>
      <w:r w:rsidR="00595267" w:rsidRPr="00815E22">
        <w:t xml:space="preserve">  </w:t>
      </w:r>
      <w:r w:rsidR="00F827BC" w:rsidRPr="00BA47A1">
        <w:t>Th</w:t>
      </w:r>
      <w:r w:rsidR="00815E22" w:rsidRPr="00BA47A1">
        <w:t>ese</w:t>
      </w:r>
      <w:r w:rsidR="00F827BC" w:rsidRPr="00BA47A1">
        <w:t xml:space="preserve"> reduction</w:t>
      </w:r>
      <w:r w:rsidR="00815E22" w:rsidRPr="00BA47A1">
        <w:t>s</w:t>
      </w:r>
      <w:r w:rsidR="00F827BC" w:rsidRPr="00BA47A1">
        <w:t xml:space="preserve"> </w:t>
      </w:r>
      <w:r w:rsidR="00815E22" w:rsidRPr="00BA47A1">
        <w:t>were made as part of the process to review the existing Capital Programme with a view to re-prioritising investment and thereby make reductions to assist with closing the budget gap as reported as part of the draft Capital Programme which went to Cabinet in December 2017.</w:t>
      </w:r>
    </w:p>
    <w:p w:rsidR="005B7D2C" w:rsidRDefault="00815E22" w:rsidP="00BA47A1">
      <w:pPr>
        <w:pStyle w:val="ListParagraph"/>
        <w:ind w:left="1361"/>
        <w:jc w:val="both"/>
      </w:pPr>
      <w:r w:rsidRPr="00BA47A1">
        <w:t xml:space="preserve"> </w:t>
      </w:r>
    </w:p>
    <w:p w:rsidR="005B7D2C" w:rsidRDefault="005B7D2C" w:rsidP="005B7D2C">
      <w:pPr>
        <w:pStyle w:val="ListParagraph"/>
        <w:numPr>
          <w:ilvl w:val="0"/>
          <w:numId w:val="41"/>
        </w:numPr>
        <w:jc w:val="both"/>
      </w:pPr>
      <w:r>
        <w:t>a net reduction between 2018/19 to 2020/21 of £1</w:t>
      </w:r>
      <w:r w:rsidR="00306450">
        <w:t>0</w:t>
      </w:r>
      <w:r>
        <w:t>.</w:t>
      </w:r>
      <w:r w:rsidR="00306450">
        <w:t>858</w:t>
      </w:r>
      <w:r>
        <w:t xml:space="preserve">m in the Regeneration </w:t>
      </w:r>
      <w:r w:rsidRPr="00BA47A1">
        <w:t xml:space="preserve">Programme (see paragraphs </w:t>
      </w:r>
      <w:r w:rsidR="009F6126" w:rsidRPr="00BA47A1">
        <w:t>5</w:t>
      </w:r>
      <w:r w:rsidR="00410380">
        <w:t>1</w:t>
      </w:r>
      <w:r w:rsidRPr="00BA47A1">
        <w:t xml:space="preserve"> to 5</w:t>
      </w:r>
      <w:r w:rsidR="00410380">
        <w:t>8</w:t>
      </w:r>
      <w:r w:rsidRPr="00BA47A1">
        <w:t xml:space="preserve">) </w:t>
      </w:r>
    </w:p>
    <w:p w:rsidR="005B7D2C" w:rsidRDefault="005B7D2C" w:rsidP="00BA47A1">
      <w:pPr>
        <w:pStyle w:val="ListParagraph"/>
        <w:ind w:left="1361"/>
        <w:jc w:val="both"/>
      </w:pPr>
    </w:p>
    <w:p w:rsidR="002E5E0B" w:rsidRDefault="009F6126">
      <w:pPr>
        <w:pStyle w:val="ListParagraph"/>
        <w:numPr>
          <w:ilvl w:val="0"/>
          <w:numId w:val="41"/>
        </w:numPr>
        <w:jc w:val="both"/>
      </w:pPr>
      <w:r w:rsidRPr="00F827BC">
        <w:t>New</w:t>
      </w:r>
      <w:r w:rsidR="005B7D2C" w:rsidRPr="00F827BC">
        <w:t xml:space="preserve"> capital additions (see paragraphs 7 to </w:t>
      </w:r>
      <w:r w:rsidR="005B7D2C" w:rsidRPr="00BF643F">
        <w:t>3</w:t>
      </w:r>
      <w:r w:rsidR="00410380">
        <w:t>1</w:t>
      </w:r>
      <w:r w:rsidR="005B7D2C" w:rsidRPr="00F827BC">
        <w:t>)</w:t>
      </w:r>
      <w:r w:rsidR="005B7D2C">
        <w:t xml:space="preserve"> which increase the programme by a total of £27.603m</w:t>
      </w:r>
      <w:r w:rsidR="005B7D2C" w:rsidRPr="00815E22">
        <w:t>.</w:t>
      </w:r>
    </w:p>
    <w:p w:rsidR="002E5E0B" w:rsidRDefault="002E5E0B" w:rsidP="00662DEC">
      <w:pPr>
        <w:pStyle w:val="ListParagraph"/>
        <w:ind w:left="1361"/>
        <w:jc w:val="both"/>
      </w:pPr>
    </w:p>
    <w:p w:rsidR="002E5E0B" w:rsidRDefault="005B7D2C">
      <w:pPr>
        <w:pStyle w:val="ListParagraph"/>
        <w:numPr>
          <w:ilvl w:val="0"/>
          <w:numId w:val="41"/>
        </w:numPr>
        <w:jc w:val="both"/>
      </w:pPr>
      <w:r w:rsidRPr="00815E22">
        <w:t xml:space="preserve"> </w:t>
      </w:r>
      <w:r w:rsidR="002E5E0B">
        <w:t>Net movement in the HRA Capital Programme of £19.180m</w:t>
      </w:r>
    </w:p>
    <w:p w:rsidR="005B7D2C" w:rsidRDefault="005B7D2C" w:rsidP="00662DEC">
      <w:pPr>
        <w:ind w:left="1001"/>
        <w:jc w:val="both"/>
      </w:pPr>
    </w:p>
    <w:p w:rsidR="005B7D2C" w:rsidRDefault="005B7D2C" w:rsidP="00BA47A1">
      <w:pPr>
        <w:pStyle w:val="ListParagraph"/>
        <w:ind w:left="1361"/>
        <w:jc w:val="both"/>
      </w:pPr>
    </w:p>
    <w:p w:rsidR="003628D7" w:rsidRDefault="005B7D2C" w:rsidP="00BA47A1">
      <w:pPr>
        <w:pStyle w:val="ListParagraph"/>
        <w:numPr>
          <w:ilvl w:val="0"/>
          <w:numId w:val="27"/>
        </w:numPr>
        <w:jc w:val="both"/>
      </w:pPr>
      <w:r>
        <w:t xml:space="preserve"> </w:t>
      </w:r>
      <w:r w:rsidR="00815E22" w:rsidRPr="00BA47A1">
        <w:t xml:space="preserve">Overall as a result of these changes the Total Capital Programme has </w:t>
      </w:r>
      <w:r>
        <w:t xml:space="preserve">  </w:t>
      </w:r>
      <w:r w:rsidR="00815E22" w:rsidRPr="002E5E0B">
        <w:t>increased from £36</w:t>
      </w:r>
      <w:r w:rsidR="00306450" w:rsidRPr="00662DEC">
        <w:t>8</w:t>
      </w:r>
      <w:r w:rsidR="00815E22" w:rsidRPr="002E5E0B">
        <w:t>.535m to £3</w:t>
      </w:r>
      <w:r w:rsidR="00306450" w:rsidRPr="00662DEC">
        <w:t>99.824</w:t>
      </w:r>
      <w:r w:rsidR="00815E22" w:rsidRPr="002E5E0B">
        <w:t>m.</w:t>
      </w:r>
      <w:r w:rsidR="00595267" w:rsidRPr="002E5E0B">
        <w:t xml:space="preserve"> </w:t>
      </w:r>
      <w:r w:rsidR="00815E22" w:rsidRPr="002E5E0B">
        <w:t>Table</w:t>
      </w:r>
      <w:r w:rsidR="00815E22">
        <w:t xml:space="preserve"> 4 below shows the total Capital Programme by Directorate:</w:t>
      </w:r>
    </w:p>
    <w:p w:rsidR="00815E22" w:rsidRDefault="00815E22" w:rsidP="00BA47A1">
      <w:pPr>
        <w:tabs>
          <w:tab w:val="num" w:pos="1560"/>
        </w:tabs>
        <w:jc w:val="both"/>
      </w:pPr>
    </w:p>
    <w:p w:rsidR="00662DEC" w:rsidRDefault="00662DEC" w:rsidP="00BA47A1">
      <w:pPr>
        <w:tabs>
          <w:tab w:val="num" w:pos="1560"/>
        </w:tabs>
        <w:jc w:val="both"/>
      </w:pPr>
    </w:p>
    <w:p w:rsidR="00662DEC" w:rsidRDefault="00662DEC" w:rsidP="00BA47A1">
      <w:pPr>
        <w:tabs>
          <w:tab w:val="num" w:pos="1560"/>
        </w:tabs>
        <w:jc w:val="both"/>
      </w:pPr>
    </w:p>
    <w:p w:rsidR="00662DEC" w:rsidRDefault="00662DEC" w:rsidP="00BA47A1">
      <w:pPr>
        <w:tabs>
          <w:tab w:val="num" w:pos="1560"/>
        </w:tabs>
        <w:jc w:val="both"/>
      </w:pPr>
    </w:p>
    <w:p w:rsidR="00662DEC" w:rsidRDefault="00662DEC" w:rsidP="00BA47A1">
      <w:pPr>
        <w:tabs>
          <w:tab w:val="num" w:pos="1560"/>
        </w:tabs>
        <w:jc w:val="both"/>
      </w:pPr>
    </w:p>
    <w:p w:rsidR="00662DEC" w:rsidRDefault="00662DEC" w:rsidP="00BA47A1">
      <w:pPr>
        <w:tabs>
          <w:tab w:val="num" w:pos="1560"/>
        </w:tabs>
        <w:jc w:val="both"/>
      </w:pPr>
    </w:p>
    <w:p w:rsidR="00662DEC" w:rsidRDefault="00662DEC" w:rsidP="00BA47A1">
      <w:pPr>
        <w:tabs>
          <w:tab w:val="num" w:pos="1560"/>
        </w:tabs>
        <w:jc w:val="both"/>
      </w:pPr>
    </w:p>
    <w:p w:rsidR="00662DEC" w:rsidRDefault="00662DEC" w:rsidP="00BA47A1">
      <w:pPr>
        <w:tabs>
          <w:tab w:val="num" w:pos="1560"/>
        </w:tabs>
        <w:jc w:val="both"/>
      </w:pPr>
    </w:p>
    <w:p w:rsidR="00815E22" w:rsidRPr="00815E22" w:rsidRDefault="00306450" w:rsidP="00BA47A1">
      <w:pPr>
        <w:tabs>
          <w:tab w:val="num" w:pos="1560"/>
        </w:tabs>
        <w:jc w:val="both"/>
      </w:pPr>
      <w:r w:rsidRPr="00306450">
        <w:rPr>
          <w:noProof/>
          <w:lang w:eastAsia="en-GB"/>
        </w:rPr>
        <w:drawing>
          <wp:inline distT="0" distB="0" distL="0" distR="0" wp14:anchorId="02D50602" wp14:editId="41542237">
            <wp:extent cx="5647765" cy="48870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9928" cy="4888917"/>
                    </a:xfrm>
                    <a:prstGeom prst="rect">
                      <a:avLst/>
                    </a:prstGeom>
                    <a:noFill/>
                    <a:ln>
                      <a:noFill/>
                    </a:ln>
                  </pic:spPr>
                </pic:pic>
              </a:graphicData>
            </a:graphic>
          </wp:inline>
        </w:drawing>
      </w:r>
    </w:p>
    <w:p w:rsidR="00B96C5E" w:rsidRPr="00EB461A" w:rsidRDefault="00B96C5E" w:rsidP="00253BB4">
      <w:pPr>
        <w:spacing w:after="120"/>
        <w:ind w:left="567"/>
        <w:jc w:val="both"/>
        <w:rPr>
          <w:rFonts w:cs="Arial"/>
          <w:szCs w:val="24"/>
          <w:highlight w:val="yellow"/>
        </w:rPr>
      </w:pPr>
    </w:p>
    <w:p w:rsidR="00B96C5E" w:rsidRPr="003E27E0" w:rsidRDefault="00B96C5E" w:rsidP="00253BB4">
      <w:pPr>
        <w:spacing w:after="120"/>
        <w:ind w:left="567"/>
        <w:jc w:val="both"/>
        <w:rPr>
          <w:rFonts w:cs="Arial"/>
          <w:b/>
          <w:szCs w:val="24"/>
        </w:rPr>
      </w:pPr>
      <w:r w:rsidRPr="003E27E0">
        <w:rPr>
          <w:rFonts w:cs="Arial"/>
          <w:b/>
          <w:szCs w:val="24"/>
        </w:rPr>
        <w:t>Regeneration</w:t>
      </w:r>
      <w:r w:rsidR="003E097B" w:rsidRPr="003E27E0">
        <w:rPr>
          <w:rFonts w:cs="Arial"/>
          <w:b/>
          <w:szCs w:val="24"/>
        </w:rPr>
        <w:t xml:space="preserve"> Capital Programme</w:t>
      </w:r>
    </w:p>
    <w:p w:rsidR="00CB13B8" w:rsidRPr="00BA47A1" w:rsidRDefault="00CB13B8" w:rsidP="00BA47A1">
      <w:pPr>
        <w:numPr>
          <w:ilvl w:val="0"/>
          <w:numId w:val="27"/>
        </w:numPr>
        <w:tabs>
          <w:tab w:val="clear" w:pos="360"/>
          <w:tab w:val="num" w:pos="567"/>
        </w:tabs>
        <w:spacing w:after="120"/>
        <w:ind w:left="567" w:hanging="567"/>
        <w:jc w:val="both"/>
        <w:rPr>
          <w:rFonts w:cs="Arial"/>
          <w:szCs w:val="24"/>
        </w:rPr>
      </w:pPr>
      <w:r w:rsidRPr="00BA47A1">
        <w:rPr>
          <w:rFonts w:cs="Arial"/>
          <w:szCs w:val="24"/>
        </w:rPr>
        <w:t xml:space="preserve">The previous expenditure requirements of the Regeneration Programme over the financial </w:t>
      </w:r>
      <w:r w:rsidR="0085316B" w:rsidRPr="00BA47A1">
        <w:rPr>
          <w:rFonts w:cs="Arial"/>
          <w:szCs w:val="24"/>
        </w:rPr>
        <w:t>years 2017</w:t>
      </w:r>
      <w:r w:rsidRPr="00BA47A1">
        <w:rPr>
          <w:rFonts w:cs="Arial"/>
          <w:szCs w:val="24"/>
        </w:rPr>
        <w:t>/18 to 2019/20 were estimated to be £325m, to be funded through a combination of land receipts and new borrowing, with the total cost of the Regeneration programme anticipated to be in the region of £349m over the life of the programme which extended to 2021/22</w:t>
      </w:r>
      <w:r w:rsidR="003E27E0" w:rsidRPr="00BA47A1">
        <w:rPr>
          <w:rFonts w:cs="Arial"/>
          <w:szCs w:val="24"/>
        </w:rPr>
        <w:t xml:space="preserve">.  There were land </w:t>
      </w:r>
      <w:r w:rsidRPr="00BA47A1">
        <w:rPr>
          <w:rFonts w:cs="Arial"/>
          <w:szCs w:val="24"/>
        </w:rPr>
        <w:t xml:space="preserve">receipts </w:t>
      </w:r>
      <w:r w:rsidR="003E27E0" w:rsidRPr="00BA47A1">
        <w:rPr>
          <w:rFonts w:cs="Arial"/>
          <w:szCs w:val="24"/>
        </w:rPr>
        <w:t xml:space="preserve">anticipated </w:t>
      </w:r>
      <w:r w:rsidRPr="00BA47A1">
        <w:rPr>
          <w:rFonts w:cs="Arial"/>
          <w:szCs w:val="24"/>
        </w:rPr>
        <w:t>in the region of £108m being generated to help fund the cost of works</w:t>
      </w:r>
      <w:r w:rsidR="003E27E0" w:rsidRPr="00BA47A1">
        <w:rPr>
          <w:rFonts w:cs="Arial"/>
          <w:szCs w:val="24"/>
        </w:rPr>
        <w:t xml:space="preserve"> which gave a net scheme cost of £241m.</w:t>
      </w:r>
    </w:p>
    <w:p w:rsidR="001A478E" w:rsidRDefault="001A478E" w:rsidP="00BA47A1">
      <w:pPr>
        <w:pStyle w:val="ListParagraph"/>
        <w:numPr>
          <w:ilvl w:val="0"/>
          <w:numId w:val="27"/>
        </w:numPr>
        <w:tabs>
          <w:tab w:val="clear" w:pos="360"/>
          <w:tab w:val="num" w:pos="567"/>
        </w:tabs>
        <w:autoSpaceDE w:val="0"/>
        <w:autoSpaceDN w:val="0"/>
        <w:adjustRightInd w:val="0"/>
        <w:ind w:left="567" w:hanging="567"/>
        <w:rPr>
          <w:rFonts w:cs="Arial"/>
          <w:szCs w:val="24"/>
          <w:lang w:eastAsia="en-GB"/>
        </w:rPr>
      </w:pPr>
      <w:r w:rsidRPr="00D638A8">
        <w:rPr>
          <w:rFonts w:cs="Arial"/>
          <w:szCs w:val="24"/>
          <w:lang w:eastAsia="en-GB"/>
        </w:rPr>
        <w:t>In 2017, a Commercial &amp; Financial Review of the Regeneration Programme was launched, which focused on the following areas:</w:t>
      </w:r>
    </w:p>
    <w:p w:rsidR="001A478E" w:rsidRPr="00D638A8" w:rsidRDefault="001A478E" w:rsidP="00BA47A1">
      <w:pPr>
        <w:pStyle w:val="ListParagraph"/>
        <w:rPr>
          <w:rFonts w:cs="Arial"/>
          <w:szCs w:val="24"/>
          <w:lang w:eastAsia="en-GB"/>
        </w:rPr>
      </w:pPr>
    </w:p>
    <w:p w:rsidR="001A478E" w:rsidRPr="00BA47A1" w:rsidRDefault="001A478E" w:rsidP="00BA47A1">
      <w:pPr>
        <w:pStyle w:val="ListParagraph"/>
        <w:autoSpaceDE w:val="0"/>
        <w:autoSpaceDN w:val="0"/>
        <w:adjustRightInd w:val="0"/>
        <w:ind w:left="567"/>
        <w:rPr>
          <w:rFonts w:cs="Arial"/>
          <w:szCs w:val="24"/>
          <w:lang w:eastAsia="en-GB"/>
        </w:rPr>
      </w:pPr>
    </w:p>
    <w:p w:rsidR="001A478E" w:rsidRPr="00BA47A1" w:rsidRDefault="001A478E" w:rsidP="00BA47A1">
      <w:pPr>
        <w:pStyle w:val="ListParagraph"/>
        <w:numPr>
          <w:ilvl w:val="0"/>
          <w:numId w:val="43"/>
        </w:numPr>
        <w:autoSpaceDE w:val="0"/>
        <w:autoSpaceDN w:val="0"/>
        <w:adjustRightInd w:val="0"/>
        <w:ind w:hanging="11"/>
        <w:rPr>
          <w:rFonts w:cs="Arial"/>
          <w:szCs w:val="24"/>
          <w:lang w:eastAsia="en-GB"/>
        </w:rPr>
      </w:pPr>
      <w:r w:rsidRPr="00BA47A1">
        <w:rPr>
          <w:rFonts w:cs="Arial"/>
          <w:szCs w:val="24"/>
          <w:lang w:eastAsia="en-GB"/>
        </w:rPr>
        <w:t>Phasing and profiling of the programme</w:t>
      </w:r>
    </w:p>
    <w:p w:rsidR="001A478E" w:rsidRPr="00BA47A1" w:rsidRDefault="001A478E" w:rsidP="00BA47A1">
      <w:pPr>
        <w:pStyle w:val="ListParagraph"/>
        <w:numPr>
          <w:ilvl w:val="0"/>
          <w:numId w:val="43"/>
        </w:numPr>
        <w:autoSpaceDE w:val="0"/>
        <w:autoSpaceDN w:val="0"/>
        <w:adjustRightInd w:val="0"/>
        <w:ind w:hanging="11"/>
        <w:rPr>
          <w:rFonts w:cs="Arial"/>
          <w:szCs w:val="24"/>
          <w:lang w:eastAsia="en-GB"/>
        </w:rPr>
      </w:pPr>
      <w:r w:rsidRPr="00BA47A1">
        <w:rPr>
          <w:rFonts w:cs="Arial"/>
          <w:szCs w:val="24"/>
          <w:lang w:eastAsia="en-GB"/>
        </w:rPr>
        <w:t>Further commercial review of designs</w:t>
      </w:r>
    </w:p>
    <w:p w:rsidR="001A478E" w:rsidRPr="00BA47A1" w:rsidRDefault="001A478E" w:rsidP="00BA47A1">
      <w:pPr>
        <w:pStyle w:val="ListParagraph"/>
        <w:numPr>
          <w:ilvl w:val="0"/>
          <w:numId w:val="48"/>
        </w:numPr>
        <w:autoSpaceDE w:val="0"/>
        <w:autoSpaceDN w:val="0"/>
        <w:adjustRightInd w:val="0"/>
        <w:ind w:hanging="720"/>
        <w:rPr>
          <w:rFonts w:cs="Arial"/>
          <w:szCs w:val="24"/>
          <w:lang w:eastAsia="en-GB"/>
        </w:rPr>
      </w:pPr>
      <w:r w:rsidRPr="00BA47A1">
        <w:rPr>
          <w:rFonts w:cs="Arial"/>
          <w:szCs w:val="24"/>
          <w:lang w:eastAsia="en-GB"/>
        </w:rPr>
        <w:t xml:space="preserve">Peer review of approaches taken in other Councils and   organisations  </w:t>
      </w:r>
    </w:p>
    <w:p w:rsidR="001A478E" w:rsidRPr="00BA47A1" w:rsidRDefault="001A478E" w:rsidP="00BA47A1">
      <w:pPr>
        <w:pStyle w:val="ListParagraph"/>
        <w:numPr>
          <w:ilvl w:val="0"/>
          <w:numId w:val="43"/>
        </w:numPr>
        <w:autoSpaceDE w:val="0"/>
        <w:autoSpaceDN w:val="0"/>
        <w:adjustRightInd w:val="0"/>
        <w:ind w:hanging="11"/>
        <w:rPr>
          <w:rFonts w:cs="Arial"/>
          <w:szCs w:val="24"/>
          <w:lang w:eastAsia="en-GB"/>
        </w:rPr>
      </w:pPr>
      <w:r w:rsidRPr="00BA47A1">
        <w:rPr>
          <w:rFonts w:cs="Arial"/>
          <w:szCs w:val="24"/>
          <w:lang w:eastAsia="en-GB"/>
        </w:rPr>
        <w:t>Further analysis of debt and cash flows</w:t>
      </w:r>
    </w:p>
    <w:p w:rsidR="001A478E" w:rsidRPr="00BA47A1" w:rsidRDefault="001A478E" w:rsidP="00BA47A1">
      <w:pPr>
        <w:pStyle w:val="ListParagraph"/>
        <w:numPr>
          <w:ilvl w:val="0"/>
          <w:numId w:val="43"/>
        </w:numPr>
        <w:autoSpaceDE w:val="0"/>
        <w:autoSpaceDN w:val="0"/>
        <w:adjustRightInd w:val="0"/>
        <w:ind w:hanging="11"/>
        <w:rPr>
          <w:rFonts w:cs="Arial"/>
          <w:szCs w:val="24"/>
          <w:lang w:eastAsia="en-GB"/>
        </w:rPr>
      </w:pPr>
      <w:r w:rsidRPr="00BA47A1">
        <w:rPr>
          <w:rFonts w:cs="Arial"/>
          <w:szCs w:val="24"/>
          <w:lang w:eastAsia="en-GB"/>
        </w:rPr>
        <w:t>Clarification of advice on the legal and tax implications</w:t>
      </w:r>
    </w:p>
    <w:p w:rsidR="001A478E" w:rsidRPr="00BA47A1" w:rsidRDefault="001A478E" w:rsidP="00BA47A1">
      <w:pPr>
        <w:pStyle w:val="ListParagraph"/>
        <w:numPr>
          <w:ilvl w:val="0"/>
          <w:numId w:val="43"/>
        </w:numPr>
        <w:autoSpaceDE w:val="0"/>
        <w:autoSpaceDN w:val="0"/>
        <w:adjustRightInd w:val="0"/>
        <w:ind w:hanging="11"/>
        <w:rPr>
          <w:rFonts w:cs="Arial"/>
          <w:szCs w:val="24"/>
          <w:lang w:eastAsia="en-GB"/>
        </w:rPr>
      </w:pPr>
      <w:r w:rsidRPr="00BA47A1">
        <w:rPr>
          <w:rFonts w:cs="Arial"/>
          <w:szCs w:val="24"/>
          <w:lang w:eastAsia="en-GB"/>
        </w:rPr>
        <w:t>Seeking advice on partnering structures.</w:t>
      </w:r>
    </w:p>
    <w:p w:rsidR="001A478E" w:rsidRDefault="001A478E" w:rsidP="001A478E">
      <w:pPr>
        <w:rPr>
          <w:rFonts w:cs="Arial"/>
          <w:szCs w:val="24"/>
          <w:lang w:eastAsia="en-GB"/>
        </w:rPr>
      </w:pPr>
    </w:p>
    <w:p w:rsidR="001A478E" w:rsidRPr="00662DEC" w:rsidRDefault="001A478E" w:rsidP="00662DEC">
      <w:pPr>
        <w:pStyle w:val="ListParagraph"/>
        <w:numPr>
          <w:ilvl w:val="0"/>
          <w:numId w:val="27"/>
        </w:numPr>
        <w:tabs>
          <w:tab w:val="clear" w:pos="360"/>
          <w:tab w:val="num" w:pos="567"/>
        </w:tabs>
        <w:ind w:left="426" w:hanging="426"/>
        <w:rPr>
          <w:rFonts w:cs="Arial"/>
          <w:szCs w:val="24"/>
          <w:lang w:eastAsia="en-GB"/>
        </w:rPr>
      </w:pPr>
      <w:r w:rsidRPr="00662DEC">
        <w:rPr>
          <w:rFonts w:cs="Arial"/>
          <w:szCs w:val="24"/>
          <w:lang w:eastAsia="en-GB"/>
        </w:rPr>
        <w:lastRenderedPageBreak/>
        <w:t xml:space="preserve">This resulted in a revised indicative Programme budget being taken to December 2017 Cabinet. This showed gross expenditure of £293m reduced to £220m after the application of capital receipts. The December Cabinet report stated that this indicative position was subject to further review in preparation for it being included in the Final Capital Programme to be agreed by Cabinet/Council in February 2018.The revised Regeneration budget </w:t>
      </w:r>
      <w:r w:rsidR="00662DEC" w:rsidRPr="00662DEC">
        <w:rPr>
          <w:rFonts w:cs="Arial"/>
          <w:szCs w:val="24"/>
          <w:lang w:eastAsia="en-GB"/>
        </w:rPr>
        <w:t xml:space="preserve">which extends to 2022/23 is set out </w:t>
      </w:r>
      <w:r w:rsidRPr="00662DEC">
        <w:rPr>
          <w:rFonts w:cs="Arial"/>
          <w:szCs w:val="24"/>
          <w:lang w:eastAsia="en-GB"/>
        </w:rPr>
        <w:t>in Table 5 below</w:t>
      </w:r>
      <w:r w:rsidR="00662DEC" w:rsidRPr="00662DEC">
        <w:rPr>
          <w:rFonts w:cs="Arial"/>
          <w:szCs w:val="24"/>
          <w:lang w:eastAsia="en-GB"/>
        </w:rPr>
        <w:t>.</w:t>
      </w:r>
    </w:p>
    <w:p w:rsidR="00BA47A1" w:rsidRDefault="00BA47A1" w:rsidP="00BA47A1">
      <w:pPr>
        <w:pStyle w:val="ListParagraph"/>
        <w:ind w:left="426"/>
        <w:rPr>
          <w:rFonts w:cs="Arial"/>
          <w:szCs w:val="24"/>
          <w:lang w:eastAsia="en-GB"/>
        </w:rPr>
      </w:pPr>
    </w:p>
    <w:p w:rsidR="001A478E" w:rsidRDefault="001A478E">
      <w:pPr>
        <w:rPr>
          <w:rFonts w:cs="Arial"/>
          <w:szCs w:val="24"/>
          <w:lang w:eastAsia="en-GB"/>
        </w:rPr>
      </w:pPr>
      <w:r>
        <w:rPr>
          <w:rFonts w:cs="Arial"/>
          <w:szCs w:val="24"/>
          <w:lang w:eastAsia="en-GB"/>
        </w:rPr>
        <w:t>Table 5 – Regeneration Programme</w:t>
      </w:r>
    </w:p>
    <w:tbl>
      <w:tblPr>
        <w:tblStyle w:val="TableGrid1"/>
        <w:tblW w:w="0" w:type="auto"/>
        <w:tblLook w:val="04A0" w:firstRow="1" w:lastRow="0" w:firstColumn="1" w:lastColumn="0" w:noHBand="0" w:noVBand="1"/>
      </w:tblPr>
      <w:tblGrid>
        <w:gridCol w:w="2080"/>
        <w:gridCol w:w="1736"/>
        <w:gridCol w:w="1659"/>
        <w:gridCol w:w="1534"/>
        <w:gridCol w:w="1516"/>
      </w:tblGrid>
      <w:tr w:rsidR="001A478E" w:rsidRPr="001A478E" w:rsidTr="00D638A8">
        <w:trPr>
          <w:trHeight w:val="1265"/>
        </w:trPr>
        <w:tc>
          <w:tcPr>
            <w:tcW w:w="2376" w:type="dxa"/>
          </w:tcPr>
          <w:p w:rsidR="001A478E" w:rsidRPr="001A478E" w:rsidRDefault="001A478E" w:rsidP="001A478E">
            <w:pPr>
              <w:spacing w:after="200" w:line="276" w:lineRule="auto"/>
              <w:rPr>
                <w:rFonts w:cs="Arial"/>
                <w:sz w:val="22"/>
                <w:szCs w:val="22"/>
              </w:rPr>
            </w:pPr>
          </w:p>
        </w:tc>
        <w:tc>
          <w:tcPr>
            <w:tcW w:w="1985" w:type="dxa"/>
          </w:tcPr>
          <w:p w:rsidR="001A478E" w:rsidRPr="001A478E" w:rsidRDefault="001A478E" w:rsidP="001A478E">
            <w:pPr>
              <w:spacing w:after="200" w:line="276" w:lineRule="auto"/>
              <w:rPr>
                <w:rFonts w:cs="Arial"/>
                <w:sz w:val="22"/>
                <w:szCs w:val="22"/>
              </w:rPr>
            </w:pPr>
            <w:r w:rsidRPr="001A478E">
              <w:rPr>
                <w:rFonts w:cs="Arial"/>
                <w:sz w:val="22"/>
                <w:szCs w:val="22"/>
              </w:rPr>
              <w:t>January 2017 Approved budget, (A)</w:t>
            </w:r>
          </w:p>
          <w:p w:rsidR="001A478E" w:rsidRPr="001A478E" w:rsidRDefault="001A478E" w:rsidP="001A478E">
            <w:pPr>
              <w:spacing w:after="200" w:line="276" w:lineRule="auto"/>
              <w:rPr>
                <w:rFonts w:cs="Arial"/>
                <w:sz w:val="22"/>
                <w:szCs w:val="22"/>
              </w:rPr>
            </w:pPr>
            <w:r w:rsidRPr="001A478E">
              <w:rPr>
                <w:rFonts w:cs="Arial"/>
                <w:sz w:val="22"/>
                <w:szCs w:val="22"/>
              </w:rPr>
              <w:t>£’000s</w:t>
            </w:r>
          </w:p>
        </w:tc>
        <w:tc>
          <w:tcPr>
            <w:tcW w:w="1843" w:type="dxa"/>
          </w:tcPr>
          <w:p w:rsidR="001A478E" w:rsidRPr="001A478E" w:rsidRDefault="001A478E" w:rsidP="001A478E">
            <w:pPr>
              <w:spacing w:after="200" w:line="276" w:lineRule="auto"/>
              <w:rPr>
                <w:rFonts w:cs="Arial"/>
                <w:sz w:val="22"/>
                <w:szCs w:val="22"/>
              </w:rPr>
            </w:pPr>
            <w:r w:rsidRPr="001A478E">
              <w:rPr>
                <w:rFonts w:cs="Arial"/>
                <w:sz w:val="22"/>
                <w:szCs w:val="22"/>
              </w:rPr>
              <w:t>December 2017 Update, (B)</w:t>
            </w:r>
          </w:p>
          <w:p w:rsidR="001A478E" w:rsidRPr="001A478E" w:rsidRDefault="001A478E" w:rsidP="001A478E">
            <w:pPr>
              <w:spacing w:after="200" w:line="276" w:lineRule="auto"/>
              <w:rPr>
                <w:rFonts w:cs="Arial"/>
                <w:sz w:val="22"/>
                <w:szCs w:val="22"/>
              </w:rPr>
            </w:pPr>
            <w:r w:rsidRPr="001A478E">
              <w:rPr>
                <w:rFonts w:cs="Arial"/>
                <w:sz w:val="22"/>
                <w:szCs w:val="22"/>
              </w:rPr>
              <w:t>£’000s</w:t>
            </w:r>
          </w:p>
        </w:tc>
        <w:tc>
          <w:tcPr>
            <w:tcW w:w="1701" w:type="dxa"/>
          </w:tcPr>
          <w:p w:rsidR="001A478E" w:rsidRPr="001A478E" w:rsidRDefault="001A478E" w:rsidP="001A478E">
            <w:pPr>
              <w:spacing w:after="200" w:line="276" w:lineRule="auto"/>
              <w:rPr>
                <w:rFonts w:cs="Arial"/>
                <w:sz w:val="22"/>
                <w:szCs w:val="22"/>
              </w:rPr>
            </w:pPr>
            <w:r w:rsidRPr="001A478E">
              <w:rPr>
                <w:rFonts w:cs="Arial"/>
                <w:sz w:val="22"/>
                <w:szCs w:val="22"/>
              </w:rPr>
              <w:t xml:space="preserve">February 2018 Budget (C) for Approval,   </w:t>
            </w:r>
          </w:p>
          <w:p w:rsidR="001A478E" w:rsidRPr="001A478E" w:rsidRDefault="001A478E" w:rsidP="001A478E">
            <w:pPr>
              <w:spacing w:after="200" w:line="276" w:lineRule="auto"/>
              <w:rPr>
                <w:rFonts w:cs="Arial"/>
                <w:sz w:val="22"/>
                <w:szCs w:val="22"/>
              </w:rPr>
            </w:pPr>
            <w:r w:rsidRPr="001A478E">
              <w:rPr>
                <w:rFonts w:cs="Arial"/>
                <w:sz w:val="22"/>
                <w:szCs w:val="22"/>
              </w:rPr>
              <w:t xml:space="preserve">     £’000s</w:t>
            </w:r>
          </w:p>
        </w:tc>
        <w:tc>
          <w:tcPr>
            <w:tcW w:w="1701" w:type="dxa"/>
          </w:tcPr>
          <w:p w:rsidR="001A478E" w:rsidRPr="001A478E" w:rsidRDefault="001A478E" w:rsidP="001A478E">
            <w:pPr>
              <w:spacing w:after="200" w:line="276" w:lineRule="auto"/>
              <w:rPr>
                <w:rFonts w:cs="Arial"/>
                <w:sz w:val="22"/>
                <w:szCs w:val="22"/>
              </w:rPr>
            </w:pPr>
            <w:r w:rsidRPr="001A478E">
              <w:rPr>
                <w:rFonts w:cs="Arial"/>
                <w:sz w:val="22"/>
                <w:szCs w:val="22"/>
              </w:rPr>
              <w:t xml:space="preserve">Variance </w:t>
            </w:r>
          </w:p>
          <w:p w:rsidR="001A478E" w:rsidRPr="001A478E" w:rsidRDefault="001A478E" w:rsidP="001A478E">
            <w:pPr>
              <w:spacing w:after="200" w:line="276" w:lineRule="auto"/>
              <w:rPr>
                <w:rFonts w:cs="Arial"/>
                <w:sz w:val="22"/>
                <w:szCs w:val="22"/>
              </w:rPr>
            </w:pPr>
            <w:r w:rsidRPr="001A478E">
              <w:rPr>
                <w:rFonts w:cs="Arial"/>
                <w:sz w:val="22"/>
                <w:szCs w:val="22"/>
              </w:rPr>
              <w:t>(A)-(C)</w:t>
            </w:r>
          </w:p>
          <w:p w:rsidR="001A478E" w:rsidRPr="001A478E" w:rsidRDefault="001A478E" w:rsidP="001A478E">
            <w:pPr>
              <w:spacing w:after="200" w:line="276" w:lineRule="auto"/>
              <w:rPr>
                <w:rFonts w:cs="Arial"/>
                <w:sz w:val="22"/>
                <w:szCs w:val="22"/>
              </w:rPr>
            </w:pPr>
            <w:r w:rsidRPr="001A478E">
              <w:rPr>
                <w:rFonts w:cs="Arial"/>
                <w:sz w:val="22"/>
                <w:szCs w:val="22"/>
              </w:rPr>
              <w:t>£’000</w:t>
            </w:r>
          </w:p>
        </w:tc>
      </w:tr>
      <w:tr w:rsidR="001A478E" w:rsidRPr="001A478E" w:rsidTr="00D638A8">
        <w:tc>
          <w:tcPr>
            <w:tcW w:w="2376" w:type="dxa"/>
          </w:tcPr>
          <w:p w:rsidR="001A478E" w:rsidRPr="001A478E" w:rsidRDefault="001A478E" w:rsidP="001A478E">
            <w:pPr>
              <w:spacing w:after="200" w:line="276" w:lineRule="auto"/>
              <w:rPr>
                <w:rFonts w:cs="Arial"/>
                <w:sz w:val="22"/>
                <w:szCs w:val="22"/>
              </w:rPr>
            </w:pPr>
            <w:r w:rsidRPr="001A478E">
              <w:rPr>
                <w:rFonts w:cs="Arial"/>
                <w:sz w:val="22"/>
                <w:szCs w:val="22"/>
              </w:rPr>
              <w:t>Gross Expenditure</w:t>
            </w:r>
          </w:p>
        </w:tc>
        <w:tc>
          <w:tcPr>
            <w:tcW w:w="1985" w:type="dxa"/>
          </w:tcPr>
          <w:p w:rsidR="001A478E" w:rsidRPr="001A478E" w:rsidRDefault="001A478E" w:rsidP="001A478E">
            <w:pPr>
              <w:spacing w:after="200" w:line="276" w:lineRule="auto"/>
              <w:rPr>
                <w:rFonts w:cs="Arial"/>
                <w:sz w:val="22"/>
                <w:szCs w:val="22"/>
              </w:rPr>
            </w:pPr>
            <w:r w:rsidRPr="001A478E">
              <w:rPr>
                <w:rFonts w:cs="Arial"/>
                <w:sz w:val="22"/>
                <w:szCs w:val="22"/>
              </w:rPr>
              <w:t>349,096</w:t>
            </w:r>
          </w:p>
        </w:tc>
        <w:tc>
          <w:tcPr>
            <w:tcW w:w="1843" w:type="dxa"/>
          </w:tcPr>
          <w:p w:rsidR="001A478E" w:rsidRPr="001A478E" w:rsidRDefault="001A478E" w:rsidP="001A478E">
            <w:pPr>
              <w:spacing w:after="200" w:line="276" w:lineRule="auto"/>
              <w:rPr>
                <w:rFonts w:cs="Arial"/>
                <w:sz w:val="22"/>
                <w:szCs w:val="22"/>
              </w:rPr>
            </w:pPr>
            <w:r w:rsidRPr="001A478E">
              <w:rPr>
                <w:rFonts w:cs="Arial"/>
                <w:sz w:val="22"/>
                <w:szCs w:val="22"/>
              </w:rPr>
              <w:t>292,252</w:t>
            </w:r>
          </w:p>
        </w:tc>
        <w:tc>
          <w:tcPr>
            <w:tcW w:w="1701" w:type="dxa"/>
          </w:tcPr>
          <w:p w:rsidR="001A478E" w:rsidRPr="001A478E" w:rsidRDefault="001A478E" w:rsidP="00F1434A">
            <w:pPr>
              <w:spacing w:after="200" w:line="276" w:lineRule="auto"/>
              <w:rPr>
                <w:rFonts w:cs="Arial"/>
                <w:sz w:val="22"/>
                <w:szCs w:val="22"/>
              </w:rPr>
            </w:pPr>
            <w:r w:rsidRPr="001A478E">
              <w:rPr>
                <w:rFonts w:cs="Arial"/>
                <w:sz w:val="22"/>
                <w:szCs w:val="22"/>
              </w:rPr>
              <w:t>295,</w:t>
            </w:r>
            <w:r w:rsidR="0090694C">
              <w:rPr>
                <w:rFonts w:cs="Arial"/>
                <w:sz w:val="22"/>
                <w:szCs w:val="22"/>
              </w:rPr>
              <w:t>1</w:t>
            </w:r>
            <w:r w:rsidR="00F1434A">
              <w:rPr>
                <w:rFonts w:cs="Arial"/>
                <w:sz w:val="22"/>
                <w:szCs w:val="22"/>
              </w:rPr>
              <w:t>71</w:t>
            </w:r>
          </w:p>
        </w:tc>
        <w:tc>
          <w:tcPr>
            <w:tcW w:w="1701" w:type="dxa"/>
          </w:tcPr>
          <w:p w:rsidR="001A478E" w:rsidRPr="001A478E" w:rsidRDefault="001A478E" w:rsidP="00F1434A">
            <w:pPr>
              <w:spacing w:after="200" w:line="276" w:lineRule="auto"/>
              <w:rPr>
                <w:rFonts w:cs="Arial"/>
                <w:sz w:val="22"/>
                <w:szCs w:val="22"/>
              </w:rPr>
            </w:pPr>
            <w:r w:rsidRPr="001A478E">
              <w:rPr>
                <w:rFonts w:cs="Arial"/>
                <w:sz w:val="22"/>
                <w:szCs w:val="22"/>
              </w:rPr>
              <w:t>(5</w:t>
            </w:r>
            <w:r w:rsidR="0090694C">
              <w:rPr>
                <w:rFonts w:cs="Arial"/>
                <w:sz w:val="22"/>
                <w:szCs w:val="22"/>
              </w:rPr>
              <w:t>3</w:t>
            </w:r>
            <w:r w:rsidRPr="001A478E">
              <w:rPr>
                <w:rFonts w:cs="Arial"/>
                <w:sz w:val="22"/>
                <w:szCs w:val="22"/>
              </w:rPr>
              <w:t>,</w:t>
            </w:r>
            <w:r w:rsidR="00F1434A">
              <w:rPr>
                <w:rFonts w:cs="Arial"/>
                <w:sz w:val="22"/>
                <w:szCs w:val="22"/>
              </w:rPr>
              <w:t>925</w:t>
            </w:r>
            <w:r w:rsidRPr="001A478E">
              <w:rPr>
                <w:rFonts w:cs="Arial"/>
                <w:sz w:val="22"/>
                <w:szCs w:val="22"/>
              </w:rPr>
              <w:t>)</w:t>
            </w:r>
          </w:p>
        </w:tc>
      </w:tr>
      <w:tr w:rsidR="001A478E" w:rsidRPr="001A478E" w:rsidTr="00D638A8">
        <w:tc>
          <w:tcPr>
            <w:tcW w:w="2376" w:type="dxa"/>
          </w:tcPr>
          <w:p w:rsidR="001A478E" w:rsidRPr="001A478E" w:rsidRDefault="001A478E" w:rsidP="001A478E">
            <w:pPr>
              <w:spacing w:after="200" w:line="276" w:lineRule="auto"/>
              <w:rPr>
                <w:rFonts w:cs="Arial"/>
                <w:sz w:val="22"/>
                <w:szCs w:val="22"/>
              </w:rPr>
            </w:pPr>
            <w:r w:rsidRPr="001A478E">
              <w:rPr>
                <w:rFonts w:cs="Arial"/>
                <w:sz w:val="22"/>
                <w:szCs w:val="22"/>
              </w:rPr>
              <w:t>Capital Receipts</w:t>
            </w:r>
          </w:p>
        </w:tc>
        <w:tc>
          <w:tcPr>
            <w:tcW w:w="1985" w:type="dxa"/>
          </w:tcPr>
          <w:p w:rsidR="001A478E" w:rsidRPr="001A478E" w:rsidRDefault="001A478E" w:rsidP="001A478E">
            <w:pPr>
              <w:spacing w:after="200" w:line="276" w:lineRule="auto"/>
              <w:rPr>
                <w:rFonts w:cs="Arial"/>
                <w:sz w:val="22"/>
                <w:szCs w:val="22"/>
              </w:rPr>
            </w:pPr>
            <w:r w:rsidRPr="001A478E">
              <w:rPr>
                <w:rFonts w:cs="Arial"/>
                <w:sz w:val="22"/>
                <w:szCs w:val="22"/>
              </w:rPr>
              <w:t>(108,245)</w:t>
            </w:r>
          </w:p>
        </w:tc>
        <w:tc>
          <w:tcPr>
            <w:tcW w:w="1843" w:type="dxa"/>
          </w:tcPr>
          <w:p w:rsidR="001A478E" w:rsidRPr="001A478E" w:rsidRDefault="001A478E" w:rsidP="001A478E">
            <w:pPr>
              <w:spacing w:after="200" w:line="276" w:lineRule="auto"/>
              <w:rPr>
                <w:rFonts w:cs="Arial"/>
                <w:sz w:val="22"/>
                <w:szCs w:val="22"/>
              </w:rPr>
            </w:pPr>
            <w:r w:rsidRPr="001A478E">
              <w:rPr>
                <w:rFonts w:cs="Arial"/>
                <w:sz w:val="22"/>
                <w:szCs w:val="22"/>
              </w:rPr>
              <w:t>(72,660)</w:t>
            </w:r>
          </w:p>
        </w:tc>
        <w:tc>
          <w:tcPr>
            <w:tcW w:w="1701" w:type="dxa"/>
          </w:tcPr>
          <w:p w:rsidR="001A478E" w:rsidRPr="001A478E" w:rsidRDefault="001A478E">
            <w:pPr>
              <w:spacing w:after="200" w:line="276" w:lineRule="auto"/>
              <w:rPr>
                <w:rFonts w:cs="Arial"/>
                <w:sz w:val="22"/>
                <w:szCs w:val="22"/>
              </w:rPr>
            </w:pPr>
            <w:r w:rsidRPr="001A478E">
              <w:rPr>
                <w:rFonts w:cs="Arial"/>
                <w:sz w:val="22"/>
                <w:szCs w:val="22"/>
              </w:rPr>
              <w:t>(87,</w:t>
            </w:r>
            <w:r w:rsidR="0090694C">
              <w:rPr>
                <w:rFonts w:cs="Arial"/>
                <w:sz w:val="22"/>
                <w:szCs w:val="22"/>
              </w:rPr>
              <w:t>771</w:t>
            </w:r>
            <w:r w:rsidRPr="001A478E">
              <w:rPr>
                <w:rFonts w:cs="Arial"/>
                <w:sz w:val="22"/>
                <w:szCs w:val="22"/>
              </w:rPr>
              <w:t>)</w:t>
            </w:r>
          </w:p>
        </w:tc>
        <w:tc>
          <w:tcPr>
            <w:tcW w:w="1701" w:type="dxa"/>
          </w:tcPr>
          <w:p w:rsidR="001A478E" w:rsidRPr="001A478E" w:rsidRDefault="001A478E">
            <w:pPr>
              <w:spacing w:after="200" w:line="276" w:lineRule="auto"/>
              <w:rPr>
                <w:rFonts w:cs="Arial"/>
                <w:sz w:val="22"/>
                <w:szCs w:val="22"/>
              </w:rPr>
            </w:pPr>
            <w:r w:rsidRPr="001A478E">
              <w:rPr>
                <w:rFonts w:cs="Arial"/>
                <w:sz w:val="22"/>
                <w:szCs w:val="22"/>
              </w:rPr>
              <w:t xml:space="preserve">  20,4</w:t>
            </w:r>
            <w:r w:rsidR="0090694C">
              <w:rPr>
                <w:rFonts w:cs="Arial"/>
                <w:sz w:val="22"/>
                <w:szCs w:val="22"/>
              </w:rPr>
              <w:t>74</w:t>
            </w:r>
          </w:p>
        </w:tc>
      </w:tr>
      <w:tr w:rsidR="001A478E" w:rsidRPr="001A478E" w:rsidTr="00D638A8">
        <w:tc>
          <w:tcPr>
            <w:tcW w:w="2376" w:type="dxa"/>
          </w:tcPr>
          <w:p w:rsidR="001A478E" w:rsidRPr="001A478E" w:rsidRDefault="001A478E" w:rsidP="001A478E">
            <w:pPr>
              <w:spacing w:after="200" w:line="276" w:lineRule="auto"/>
              <w:rPr>
                <w:rFonts w:cs="Arial"/>
                <w:sz w:val="22"/>
                <w:szCs w:val="22"/>
              </w:rPr>
            </w:pPr>
            <w:r w:rsidRPr="001A478E">
              <w:rPr>
                <w:rFonts w:cs="Arial"/>
                <w:sz w:val="22"/>
                <w:szCs w:val="22"/>
              </w:rPr>
              <w:t>Net Expenditure</w:t>
            </w:r>
          </w:p>
        </w:tc>
        <w:tc>
          <w:tcPr>
            <w:tcW w:w="1985" w:type="dxa"/>
          </w:tcPr>
          <w:p w:rsidR="001A478E" w:rsidRPr="001A478E" w:rsidRDefault="001A478E" w:rsidP="001A478E">
            <w:pPr>
              <w:spacing w:after="200" w:line="276" w:lineRule="auto"/>
              <w:rPr>
                <w:rFonts w:cs="Arial"/>
                <w:sz w:val="22"/>
                <w:szCs w:val="22"/>
              </w:rPr>
            </w:pPr>
            <w:r w:rsidRPr="001A478E">
              <w:rPr>
                <w:rFonts w:cs="Arial"/>
                <w:sz w:val="22"/>
                <w:szCs w:val="22"/>
              </w:rPr>
              <w:t>240,851</w:t>
            </w:r>
          </w:p>
        </w:tc>
        <w:tc>
          <w:tcPr>
            <w:tcW w:w="1843" w:type="dxa"/>
          </w:tcPr>
          <w:p w:rsidR="001A478E" w:rsidRPr="001A478E" w:rsidRDefault="001A478E" w:rsidP="001A478E">
            <w:pPr>
              <w:spacing w:after="200" w:line="276" w:lineRule="auto"/>
              <w:rPr>
                <w:rFonts w:cs="Arial"/>
                <w:sz w:val="22"/>
                <w:szCs w:val="22"/>
              </w:rPr>
            </w:pPr>
            <w:r w:rsidRPr="001A478E">
              <w:rPr>
                <w:rFonts w:cs="Arial"/>
                <w:sz w:val="22"/>
                <w:szCs w:val="22"/>
              </w:rPr>
              <w:t>219,592</w:t>
            </w:r>
          </w:p>
        </w:tc>
        <w:tc>
          <w:tcPr>
            <w:tcW w:w="1701" w:type="dxa"/>
          </w:tcPr>
          <w:p w:rsidR="001A478E" w:rsidRPr="001A478E" w:rsidRDefault="001A478E" w:rsidP="00F1434A">
            <w:pPr>
              <w:spacing w:after="200" w:line="276" w:lineRule="auto"/>
              <w:rPr>
                <w:rFonts w:cs="Arial"/>
                <w:sz w:val="22"/>
                <w:szCs w:val="22"/>
              </w:rPr>
            </w:pPr>
            <w:r w:rsidRPr="001A478E">
              <w:rPr>
                <w:rFonts w:cs="Arial"/>
                <w:sz w:val="22"/>
                <w:szCs w:val="22"/>
              </w:rPr>
              <w:t>207,</w:t>
            </w:r>
            <w:r w:rsidR="00F1434A">
              <w:rPr>
                <w:rFonts w:cs="Arial"/>
                <w:sz w:val="22"/>
                <w:szCs w:val="22"/>
              </w:rPr>
              <w:t>400</w:t>
            </w:r>
          </w:p>
        </w:tc>
        <w:tc>
          <w:tcPr>
            <w:tcW w:w="1701" w:type="dxa"/>
          </w:tcPr>
          <w:p w:rsidR="001A478E" w:rsidRPr="001A478E" w:rsidRDefault="001A478E" w:rsidP="00F1434A">
            <w:pPr>
              <w:spacing w:after="200" w:line="276" w:lineRule="auto"/>
              <w:rPr>
                <w:rFonts w:cs="Arial"/>
                <w:sz w:val="22"/>
                <w:szCs w:val="22"/>
              </w:rPr>
            </w:pPr>
            <w:r w:rsidRPr="001A478E">
              <w:rPr>
                <w:rFonts w:cs="Arial"/>
                <w:sz w:val="22"/>
                <w:szCs w:val="22"/>
              </w:rPr>
              <w:t xml:space="preserve"> (33,</w:t>
            </w:r>
            <w:r w:rsidR="0090694C">
              <w:rPr>
                <w:rFonts w:cs="Arial"/>
                <w:sz w:val="22"/>
                <w:szCs w:val="22"/>
              </w:rPr>
              <w:t>4</w:t>
            </w:r>
            <w:r w:rsidR="00F1434A">
              <w:rPr>
                <w:rFonts w:cs="Arial"/>
                <w:sz w:val="22"/>
                <w:szCs w:val="22"/>
              </w:rPr>
              <w:t>51</w:t>
            </w:r>
            <w:r w:rsidRPr="001A478E">
              <w:rPr>
                <w:rFonts w:cs="Arial"/>
                <w:sz w:val="22"/>
                <w:szCs w:val="22"/>
              </w:rPr>
              <w:t>)</w:t>
            </w:r>
          </w:p>
        </w:tc>
      </w:tr>
    </w:tbl>
    <w:p w:rsidR="001A478E" w:rsidRPr="00D638A8" w:rsidRDefault="001A478E">
      <w:pPr>
        <w:rPr>
          <w:rFonts w:cs="Arial"/>
          <w:szCs w:val="24"/>
          <w:lang w:eastAsia="en-GB"/>
        </w:rPr>
      </w:pPr>
    </w:p>
    <w:p w:rsidR="00FD4E79" w:rsidRDefault="001A478E" w:rsidP="00BA47A1">
      <w:pPr>
        <w:pStyle w:val="ListParagraph"/>
        <w:numPr>
          <w:ilvl w:val="0"/>
          <w:numId w:val="27"/>
        </w:numPr>
        <w:rPr>
          <w:rFonts w:eastAsia="Calibri" w:cs="Arial"/>
          <w:szCs w:val="24"/>
          <w:lang w:eastAsia="en-GB"/>
        </w:rPr>
      </w:pPr>
      <w:r w:rsidRPr="00BA47A1">
        <w:rPr>
          <w:rFonts w:cs="Arial"/>
          <w:szCs w:val="24"/>
        </w:rPr>
        <w:t xml:space="preserve">The following </w:t>
      </w:r>
      <w:r w:rsidR="00FD4E79" w:rsidRPr="00BA47A1">
        <w:rPr>
          <w:rFonts w:eastAsia="Calibri" w:cs="Arial"/>
          <w:szCs w:val="24"/>
          <w:lang w:eastAsia="en-GB"/>
        </w:rPr>
        <w:t>areas are reflected in the revised programme budget (C) above:</w:t>
      </w:r>
    </w:p>
    <w:p w:rsidR="00C6497B" w:rsidRPr="00D638A8" w:rsidRDefault="00C6497B" w:rsidP="00BA47A1">
      <w:pPr>
        <w:pStyle w:val="ListParagraph"/>
        <w:ind w:left="360"/>
        <w:rPr>
          <w:rFonts w:eastAsia="Calibri" w:cs="Arial"/>
          <w:szCs w:val="24"/>
          <w:lang w:eastAsia="en-GB"/>
        </w:rPr>
      </w:pPr>
    </w:p>
    <w:p w:rsidR="00FD4E79" w:rsidRPr="00BA47A1" w:rsidRDefault="00FD4E79" w:rsidP="00BA47A1">
      <w:pPr>
        <w:pStyle w:val="ListParagraph"/>
        <w:numPr>
          <w:ilvl w:val="0"/>
          <w:numId w:val="47"/>
        </w:numPr>
        <w:spacing w:after="200"/>
        <w:ind w:left="709" w:hanging="283"/>
        <w:rPr>
          <w:rFonts w:cs="Arial"/>
          <w:szCs w:val="24"/>
          <w:lang w:eastAsia="en-GB"/>
        </w:rPr>
      </w:pPr>
      <w:r w:rsidRPr="00BA47A1">
        <w:rPr>
          <w:rFonts w:cs="Arial"/>
          <w:szCs w:val="24"/>
          <w:lang w:eastAsia="en-GB"/>
        </w:rPr>
        <w:t>Re-phasing of Poets’ Corner Phase 1 by elongation of construction and dividing the site into 3 sections. This has the effect of reducing peak debt and also reduces risk as further sections will only be committed to once the previous one is progressing well. This further de risks the programme as major projects are not starting on site at the same time.</w:t>
      </w:r>
    </w:p>
    <w:p w:rsidR="00FD4E79" w:rsidRDefault="00FD4E79" w:rsidP="00BA47A1">
      <w:pPr>
        <w:numPr>
          <w:ilvl w:val="0"/>
          <w:numId w:val="44"/>
        </w:numPr>
        <w:autoSpaceDE w:val="0"/>
        <w:autoSpaceDN w:val="0"/>
        <w:adjustRightInd w:val="0"/>
        <w:spacing w:after="200"/>
        <w:contextualSpacing/>
        <w:rPr>
          <w:rFonts w:eastAsia="Calibri" w:cs="Arial"/>
          <w:szCs w:val="24"/>
          <w:lang w:eastAsia="en-GB"/>
        </w:rPr>
      </w:pPr>
      <w:r w:rsidRPr="00FD4E79">
        <w:rPr>
          <w:rFonts w:eastAsia="Calibri" w:cs="Arial"/>
          <w:szCs w:val="24"/>
          <w:lang w:eastAsia="en-GB"/>
        </w:rPr>
        <w:t xml:space="preserve">Sale of Haslam House and </w:t>
      </w:r>
      <w:proofErr w:type="spellStart"/>
      <w:r w:rsidRPr="00FD4E79">
        <w:rPr>
          <w:rFonts w:eastAsia="Calibri" w:cs="Arial"/>
          <w:szCs w:val="24"/>
          <w:lang w:eastAsia="en-GB"/>
        </w:rPr>
        <w:t>Waxwell</w:t>
      </w:r>
      <w:proofErr w:type="spellEnd"/>
      <w:r w:rsidRPr="00FD4E79">
        <w:rPr>
          <w:rFonts w:eastAsia="Calibri" w:cs="Arial"/>
          <w:szCs w:val="24"/>
          <w:lang w:eastAsia="en-GB"/>
        </w:rPr>
        <w:t xml:space="preserve"> lane</w:t>
      </w:r>
      <w:r w:rsidR="009F6126">
        <w:rPr>
          <w:rFonts w:eastAsia="Calibri" w:cs="Arial"/>
          <w:szCs w:val="24"/>
          <w:lang w:eastAsia="en-GB"/>
        </w:rPr>
        <w:t xml:space="preserve"> </w:t>
      </w:r>
      <w:r w:rsidRPr="00FD4E79">
        <w:rPr>
          <w:rFonts w:eastAsia="Calibri" w:cs="Arial"/>
          <w:szCs w:val="24"/>
          <w:lang w:eastAsia="en-GB"/>
        </w:rPr>
        <w:t>-</w:t>
      </w:r>
      <w:r w:rsidR="009F6126">
        <w:rPr>
          <w:rFonts w:eastAsia="Calibri" w:cs="Arial"/>
          <w:szCs w:val="24"/>
          <w:lang w:eastAsia="en-GB"/>
        </w:rPr>
        <w:t xml:space="preserve"> </w:t>
      </w:r>
      <w:r w:rsidRPr="00FD4E79">
        <w:rPr>
          <w:rFonts w:eastAsia="Calibri" w:cs="Arial"/>
          <w:szCs w:val="24"/>
          <w:lang w:eastAsia="en-GB"/>
        </w:rPr>
        <w:t xml:space="preserve">A review of </w:t>
      </w:r>
      <w:r w:rsidR="004317C9">
        <w:rPr>
          <w:rFonts w:eastAsia="Calibri" w:cs="Arial"/>
          <w:szCs w:val="24"/>
          <w:lang w:eastAsia="en-GB"/>
        </w:rPr>
        <w:t>these schemes</w:t>
      </w:r>
      <w:r w:rsidRPr="00FD4E79">
        <w:rPr>
          <w:rFonts w:eastAsia="Calibri" w:cs="Arial"/>
          <w:szCs w:val="24"/>
          <w:lang w:eastAsia="en-GB"/>
        </w:rPr>
        <w:t xml:space="preserve"> suggests it would be better to sell for a cash receipt due to </w:t>
      </w:r>
      <w:r w:rsidR="00EC2EDC">
        <w:rPr>
          <w:rFonts w:eastAsia="Calibri" w:cs="Arial"/>
          <w:szCs w:val="24"/>
          <w:lang w:eastAsia="en-GB"/>
        </w:rPr>
        <w:t>the</w:t>
      </w:r>
      <w:r w:rsidRPr="00FD4E79">
        <w:rPr>
          <w:rFonts w:eastAsia="Calibri" w:cs="Arial"/>
          <w:szCs w:val="24"/>
          <w:lang w:eastAsia="en-GB"/>
        </w:rPr>
        <w:t xml:space="preserve"> desirable location and recycled back into the programme. Current assumptions within the modelling are that both these s</w:t>
      </w:r>
      <w:r w:rsidR="00EC2EDC">
        <w:rPr>
          <w:rFonts w:eastAsia="Calibri" w:cs="Arial"/>
          <w:szCs w:val="24"/>
          <w:lang w:eastAsia="en-GB"/>
        </w:rPr>
        <w:t xml:space="preserve">chemes </w:t>
      </w:r>
      <w:r w:rsidRPr="00FD4E79">
        <w:rPr>
          <w:rFonts w:eastAsia="Calibri" w:cs="Arial"/>
          <w:szCs w:val="24"/>
          <w:lang w:eastAsia="en-GB"/>
        </w:rPr>
        <w:t xml:space="preserve">will be sold </w:t>
      </w:r>
      <w:r w:rsidR="00EC2EDC">
        <w:rPr>
          <w:rFonts w:eastAsia="Calibri" w:cs="Arial"/>
          <w:szCs w:val="24"/>
          <w:lang w:eastAsia="en-GB"/>
        </w:rPr>
        <w:t xml:space="preserve">upon completion </w:t>
      </w:r>
      <w:r w:rsidRPr="00FD4E79">
        <w:rPr>
          <w:rFonts w:eastAsia="Calibri" w:cs="Arial"/>
          <w:szCs w:val="24"/>
          <w:lang w:eastAsia="en-GB"/>
        </w:rPr>
        <w:t>and the capital receipt recycled back. However, this will continue to be reviewed to ensure maximum benefit to the programme.</w:t>
      </w:r>
    </w:p>
    <w:p w:rsidR="00C6497B" w:rsidRPr="00FD4E79" w:rsidRDefault="00C6497B" w:rsidP="00BA47A1">
      <w:pPr>
        <w:autoSpaceDE w:val="0"/>
        <w:autoSpaceDN w:val="0"/>
        <w:adjustRightInd w:val="0"/>
        <w:spacing w:after="200" w:line="276" w:lineRule="auto"/>
        <w:ind w:left="720"/>
        <w:contextualSpacing/>
        <w:rPr>
          <w:rFonts w:eastAsia="Calibri" w:cs="Arial"/>
          <w:szCs w:val="24"/>
          <w:lang w:eastAsia="en-GB"/>
        </w:rPr>
      </w:pPr>
    </w:p>
    <w:p w:rsidR="00FD4E79" w:rsidRDefault="00FD4E79" w:rsidP="00BA47A1">
      <w:pPr>
        <w:numPr>
          <w:ilvl w:val="0"/>
          <w:numId w:val="45"/>
        </w:numPr>
        <w:spacing w:after="200"/>
        <w:contextualSpacing/>
        <w:rPr>
          <w:rFonts w:eastAsia="Calibri" w:cs="Arial"/>
          <w:szCs w:val="24"/>
          <w:lang w:eastAsia="en-GB"/>
        </w:rPr>
      </w:pPr>
      <w:r w:rsidRPr="00FD4E79">
        <w:rPr>
          <w:rFonts w:eastAsia="Calibri" w:cs="Arial"/>
          <w:szCs w:val="24"/>
          <w:lang w:eastAsia="en-GB"/>
        </w:rPr>
        <w:t xml:space="preserve">Inclusion of the GLA grant receipt , in 2017/18, of £3.75m against Poets’ Corner Phase 1 </w:t>
      </w:r>
    </w:p>
    <w:p w:rsidR="009F6126" w:rsidRPr="00FD4E79" w:rsidRDefault="009F6126" w:rsidP="00BA47A1">
      <w:pPr>
        <w:spacing w:after="200"/>
        <w:ind w:left="720"/>
        <w:contextualSpacing/>
        <w:rPr>
          <w:rFonts w:eastAsia="Calibri" w:cs="Arial"/>
          <w:szCs w:val="24"/>
          <w:lang w:eastAsia="en-GB"/>
        </w:rPr>
      </w:pPr>
    </w:p>
    <w:p w:rsidR="00FD4E79" w:rsidRDefault="00FD4E79" w:rsidP="00BA47A1">
      <w:pPr>
        <w:numPr>
          <w:ilvl w:val="0"/>
          <w:numId w:val="45"/>
        </w:numPr>
        <w:spacing w:after="200"/>
        <w:contextualSpacing/>
        <w:rPr>
          <w:rFonts w:eastAsia="Calibri" w:cs="Arial"/>
          <w:szCs w:val="24"/>
          <w:lang w:eastAsia="en-GB"/>
        </w:rPr>
      </w:pPr>
      <w:r w:rsidRPr="00FD4E79">
        <w:rPr>
          <w:rFonts w:eastAsia="Calibri" w:cs="Arial"/>
          <w:szCs w:val="24"/>
          <w:lang w:eastAsia="en-GB"/>
        </w:rPr>
        <w:t>An estimation of Stamp Duty Land Tax liability of £8.2m where applicable.</w:t>
      </w:r>
    </w:p>
    <w:p w:rsidR="00C6497B" w:rsidRPr="00FD4E79" w:rsidRDefault="00C6497B" w:rsidP="00BA47A1">
      <w:pPr>
        <w:spacing w:after="200"/>
        <w:ind w:left="720"/>
        <w:contextualSpacing/>
        <w:rPr>
          <w:rFonts w:eastAsia="Calibri" w:cs="Arial"/>
          <w:szCs w:val="24"/>
          <w:lang w:eastAsia="en-GB"/>
        </w:rPr>
      </w:pPr>
    </w:p>
    <w:p w:rsidR="00FD4E79" w:rsidRDefault="00FD4E79" w:rsidP="00BA47A1">
      <w:pPr>
        <w:numPr>
          <w:ilvl w:val="0"/>
          <w:numId w:val="45"/>
        </w:numPr>
        <w:spacing w:after="200"/>
        <w:contextualSpacing/>
        <w:rPr>
          <w:rFonts w:eastAsia="Calibri" w:cs="Arial"/>
          <w:szCs w:val="24"/>
          <w:lang w:eastAsia="en-GB"/>
        </w:rPr>
      </w:pPr>
      <w:r w:rsidRPr="00FD4E79">
        <w:rPr>
          <w:rFonts w:eastAsia="Calibri" w:cs="Arial"/>
          <w:szCs w:val="24"/>
          <w:lang w:eastAsia="en-GB"/>
        </w:rPr>
        <w:t xml:space="preserve">Review of the Management and Maintenance cost assumptions resulting in increases from £650/unit to £750/unit </w:t>
      </w:r>
    </w:p>
    <w:p w:rsidR="00C6497B" w:rsidRPr="00FD4E79" w:rsidRDefault="00C6497B" w:rsidP="00BA47A1">
      <w:pPr>
        <w:spacing w:after="200"/>
        <w:ind w:left="720"/>
        <w:contextualSpacing/>
        <w:rPr>
          <w:rFonts w:eastAsia="Calibri" w:cs="Arial"/>
          <w:szCs w:val="24"/>
          <w:lang w:eastAsia="en-GB"/>
        </w:rPr>
      </w:pPr>
    </w:p>
    <w:p w:rsidR="00FD4E79" w:rsidRDefault="00FD4E79" w:rsidP="00BA47A1">
      <w:pPr>
        <w:numPr>
          <w:ilvl w:val="0"/>
          <w:numId w:val="45"/>
        </w:numPr>
        <w:spacing w:after="200"/>
        <w:contextualSpacing/>
        <w:rPr>
          <w:rFonts w:eastAsia="Calibri" w:cs="Arial"/>
          <w:szCs w:val="24"/>
          <w:lang w:eastAsia="en-GB"/>
        </w:rPr>
      </w:pPr>
      <w:r w:rsidRPr="00FD4E79">
        <w:rPr>
          <w:rFonts w:eastAsia="Calibri" w:cs="Arial"/>
          <w:szCs w:val="24"/>
          <w:lang w:eastAsia="en-GB"/>
        </w:rPr>
        <w:t>Start on Site and practical completion dates have been updated to reflect their current assumptions.</w:t>
      </w:r>
    </w:p>
    <w:p w:rsidR="00C6497B" w:rsidRPr="00FD4E79" w:rsidRDefault="00C6497B" w:rsidP="00BA47A1">
      <w:pPr>
        <w:spacing w:after="200"/>
        <w:ind w:left="720"/>
        <w:contextualSpacing/>
        <w:rPr>
          <w:rFonts w:eastAsia="Calibri" w:cs="Arial"/>
          <w:szCs w:val="24"/>
          <w:lang w:eastAsia="en-GB"/>
        </w:rPr>
      </w:pPr>
    </w:p>
    <w:p w:rsidR="00FD4E79" w:rsidRDefault="00FD4E79" w:rsidP="00BA47A1">
      <w:pPr>
        <w:numPr>
          <w:ilvl w:val="0"/>
          <w:numId w:val="45"/>
        </w:numPr>
        <w:autoSpaceDE w:val="0"/>
        <w:autoSpaceDN w:val="0"/>
        <w:adjustRightInd w:val="0"/>
        <w:spacing w:after="200"/>
        <w:contextualSpacing/>
        <w:rPr>
          <w:rFonts w:eastAsia="Calibri" w:cs="Arial"/>
          <w:szCs w:val="24"/>
          <w:lang w:eastAsia="en-GB"/>
        </w:rPr>
      </w:pPr>
      <w:r w:rsidRPr="00FD4E79">
        <w:rPr>
          <w:rFonts w:eastAsia="Calibri" w:cs="Arial"/>
          <w:szCs w:val="24"/>
          <w:lang w:eastAsia="en-GB"/>
        </w:rPr>
        <w:lastRenderedPageBreak/>
        <w:t xml:space="preserve">To aid transparency, Value Engineering savings, yet to be made, have been removed from the costs. Further design work to ensure that schemes reach their viability target is on-going. </w:t>
      </w:r>
    </w:p>
    <w:p w:rsidR="00FD4E79" w:rsidRPr="00FD4E79" w:rsidRDefault="00C6497B" w:rsidP="00BA47A1">
      <w:pPr>
        <w:pStyle w:val="ListParagraph"/>
        <w:numPr>
          <w:ilvl w:val="0"/>
          <w:numId w:val="27"/>
        </w:numPr>
        <w:rPr>
          <w:rFonts w:eastAsia="Calibri"/>
          <w:lang w:eastAsia="en-GB"/>
        </w:rPr>
      </w:pPr>
      <w:r>
        <w:rPr>
          <w:rFonts w:cs="Arial"/>
          <w:szCs w:val="24"/>
        </w:rPr>
        <w:t xml:space="preserve"> </w:t>
      </w:r>
      <w:r w:rsidR="00FD4E79">
        <w:t xml:space="preserve">The comparable </w:t>
      </w:r>
      <w:r w:rsidR="00FD4E79">
        <w:rPr>
          <w:lang w:eastAsia="en-GB"/>
        </w:rPr>
        <w:t xml:space="preserve">total cost of the programme is now anticipated to </w:t>
      </w:r>
      <w:r w:rsidR="00BA47A1">
        <w:rPr>
          <w:lang w:eastAsia="en-GB"/>
        </w:rPr>
        <w:t>be £</w:t>
      </w:r>
      <w:r w:rsidR="00FD4E79">
        <w:rPr>
          <w:lang w:eastAsia="en-GB"/>
        </w:rPr>
        <w:t>295m to 2022/23 whereas it was at £349m in January 2017. Capital receipts are now expected to be £88m down from £108m in January 2017</w:t>
      </w:r>
      <w:r w:rsidR="00FD4E79" w:rsidRPr="00A35F4C">
        <w:rPr>
          <w:lang w:eastAsia="en-GB"/>
        </w:rPr>
        <w:t xml:space="preserve"> </w:t>
      </w:r>
      <w:r w:rsidR="00FD4E79">
        <w:rPr>
          <w:lang w:eastAsia="en-GB"/>
        </w:rPr>
        <w:t xml:space="preserve">in line with the design changes.  A detailed breakdown </w:t>
      </w:r>
      <w:r w:rsidR="00FD4E79" w:rsidRPr="00FD4E79">
        <w:rPr>
          <w:rFonts w:eastAsia="Calibri"/>
          <w:lang w:eastAsia="en-GB"/>
        </w:rPr>
        <w:t xml:space="preserve">of budget </w:t>
      </w:r>
      <w:r w:rsidR="00FD4E79" w:rsidRPr="00BA47A1">
        <w:rPr>
          <w:rFonts w:eastAsia="Calibri"/>
          <w:lang w:eastAsia="en-GB"/>
        </w:rPr>
        <w:t xml:space="preserve">allocations is </w:t>
      </w:r>
      <w:r w:rsidR="00306282">
        <w:rPr>
          <w:rFonts w:eastAsia="Calibri"/>
          <w:lang w:eastAsia="en-GB"/>
        </w:rPr>
        <w:t xml:space="preserve">set out over the life of the Programme </w:t>
      </w:r>
      <w:r w:rsidR="00FD4E79" w:rsidRPr="00BA47A1">
        <w:rPr>
          <w:rFonts w:eastAsia="Calibri"/>
          <w:lang w:eastAsia="en-GB"/>
        </w:rPr>
        <w:t xml:space="preserve">in Appendix </w:t>
      </w:r>
      <w:r w:rsidR="009F6126" w:rsidRPr="00BA47A1">
        <w:rPr>
          <w:rFonts w:eastAsia="Calibri"/>
          <w:lang w:eastAsia="en-GB"/>
        </w:rPr>
        <w:t>3</w:t>
      </w:r>
      <w:r w:rsidR="00FD4E79" w:rsidRPr="00BA47A1">
        <w:rPr>
          <w:rFonts w:eastAsia="Calibri"/>
          <w:lang w:eastAsia="en-GB"/>
        </w:rPr>
        <w:t xml:space="preserve"> but overall</w:t>
      </w:r>
      <w:r w:rsidR="00FD4E79" w:rsidRPr="00FD4E79">
        <w:rPr>
          <w:rFonts w:eastAsia="Calibri"/>
          <w:lang w:eastAsia="en-GB"/>
        </w:rPr>
        <w:t xml:space="preserve"> expenditure is to be re-profiled </w:t>
      </w:r>
      <w:r w:rsidR="00306282">
        <w:rPr>
          <w:rFonts w:eastAsia="Calibri"/>
          <w:lang w:eastAsia="en-GB"/>
        </w:rPr>
        <w:t xml:space="preserve">for the period of the existing Capital Programme </w:t>
      </w:r>
      <w:r w:rsidR="00FD4E79" w:rsidRPr="00FD4E79">
        <w:rPr>
          <w:rFonts w:eastAsia="Calibri"/>
          <w:lang w:eastAsia="en-GB"/>
        </w:rPr>
        <w:t>as follows:</w:t>
      </w:r>
    </w:p>
    <w:p w:rsidR="00FD4E79" w:rsidRPr="00FD4E79" w:rsidRDefault="00FD4E79" w:rsidP="00FD4E79">
      <w:pPr>
        <w:autoSpaceDE w:val="0"/>
        <w:autoSpaceDN w:val="0"/>
        <w:adjustRightInd w:val="0"/>
        <w:rPr>
          <w:rFonts w:eastAsia="Calibri" w:cs="Arial"/>
          <w:szCs w:val="24"/>
          <w:lang w:eastAsia="en-GB"/>
        </w:rPr>
      </w:pPr>
    </w:p>
    <w:p w:rsidR="00FD4E79" w:rsidRPr="00FD4E79" w:rsidRDefault="00FD4E79" w:rsidP="00FD4E79">
      <w:pPr>
        <w:autoSpaceDE w:val="0"/>
        <w:autoSpaceDN w:val="0"/>
        <w:adjustRightInd w:val="0"/>
        <w:rPr>
          <w:rFonts w:eastAsia="Calibri" w:cs="Arial"/>
          <w:b/>
          <w:szCs w:val="24"/>
          <w:lang w:eastAsia="en-GB"/>
        </w:rPr>
      </w:pPr>
      <w:r w:rsidRPr="00FD4E79">
        <w:rPr>
          <w:rFonts w:eastAsia="Calibri" w:cs="Arial"/>
          <w:b/>
          <w:szCs w:val="24"/>
          <w:lang w:eastAsia="en-GB"/>
        </w:rPr>
        <w:t xml:space="preserve">Table </w:t>
      </w:r>
      <w:r>
        <w:rPr>
          <w:rFonts w:eastAsia="Calibri" w:cs="Arial"/>
          <w:b/>
          <w:szCs w:val="24"/>
          <w:lang w:eastAsia="en-GB"/>
        </w:rPr>
        <w:t>6</w:t>
      </w:r>
      <w:r w:rsidRPr="00FD4E79">
        <w:rPr>
          <w:rFonts w:eastAsia="Calibri" w:cs="Arial"/>
          <w:b/>
          <w:szCs w:val="24"/>
          <w:lang w:eastAsia="en-GB"/>
        </w:rPr>
        <w:t>: Capital Programme 2018/19 to 2020/21</w:t>
      </w:r>
    </w:p>
    <w:tbl>
      <w:tblPr>
        <w:tblStyle w:val="TableGrid2"/>
        <w:tblW w:w="0" w:type="auto"/>
        <w:tblInd w:w="108" w:type="dxa"/>
        <w:tblLook w:val="04A0" w:firstRow="1" w:lastRow="0" w:firstColumn="1" w:lastColumn="0" w:noHBand="0" w:noVBand="1"/>
      </w:tblPr>
      <w:tblGrid>
        <w:gridCol w:w="1935"/>
        <w:gridCol w:w="1779"/>
        <w:gridCol w:w="1528"/>
        <w:gridCol w:w="1416"/>
        <w:gridCol w:w="1420"/>
      </w:tblGrid>
      <w:tr w:rsidR="00FD4E79" w:rsidRPr="00FD4E79" w:rsidTr="00BA47A1">
        <w:trPr>
          <w:trHeight w:val="284"/>
        </w:trPr>
        <w:tc>
          <w:tcPr>
            <w:tcW w:w="1935" w:type="dxa"/>
          </w:tcPr>
          <w:p w:rsidR="00FD4E79" w:rsidRPr="00FD4E79" w:rsidRDefault="00FD4E79" w:rsidP="00FD4E79">
            <w:pPr>
              <w:autoSpaceDE w:val="0"/>
              <w:autoSpaceDN w:val="0"/>
              <w:adjustRightInd w:val="0"/>
              <w:ind w:left="284"/>
              <w:rPr>
                <w:rFonts w:cs="Arial"/>
                <w:szCs w:val="24"/>
                <w:lang w:eastAsia="en-GB"/>
              </w:rPr>
            </w:pPr>
            <w:r w:rsidRPr="00FD4E79">
              <w:rPr>
                <w:rFonts w:cs="Arial"/>
                <w:szCs w:val="24"/>
                <w:lang w:eastAsia="en-GB"/>
              </w:rPr>
              <w:t xml:space="preserve">  </w:t>
            </w:r>
          </w:p>
        </w:tc>
        <w:tc>
          <w:tcPr>
            <w:tcW w:w="1779"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2018/19 </w:t>
            </w:r>
          </w:p>
        </w:tc>
        <w:tc>
          <w:tcPr>
            <w:tcW w:w="1528"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2019/20</w:t>
            </w:r>
          </w:p>
        </w:tc>
        <w:tc>
          <w:tcPr>
            <w:tcW w:w="1416"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2020/21</w:t>
            </w:r>
          </w:p>
        </w:tc>
        <w:tc>
          <w:tcPr>
            <w:tcW w:w="1420"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Total</w:t>
            </w:r>
          </w:p>
        </w:tc>
      </w:tr>
      <w:tr w:rsidR="00FD4E79" w:rsidRPr="00FD4E79" w:rsidTr="00BA47A1">
        <w:trPr>
          <w:trHeight w:val="284"/>
        </w:trPr>
        <w:tc>
          <w:tcPr>
            <w:tcW w:w="1935" w:type="dxa"/>
          </w:tcPr>
          <w:p w:rsidR="00FD4E79" w:rsidRPr="00FD4E79" w:rsidRDefault="00FD4E79" w:rsidP="00FD4E79">
            <w:pPr>
              <w:autoSpaceDE w:val="0"/>
              <w:autoSpaceDN w:val="0"/>
              <w:adjustRightInd w:val="0"/>
              <w:rPr>
                <w:rFonts w:cs="Arial"/>
                <w:szCs w:val="24"/>
                <w:lang w:eastAsia="en-GB"/>
              </w:rPr>
            </w:pPr>
          </w:p>
        </w:tc>
        <w:tc>
          <w:tcPr>
            <w:tcW w:w="1779"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£’000</w:t>
            </w:r>
          </w:p>
        </w:tc>
        <w:tc>
          <w:tcPr>
            <w:tcW w:w="1528"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£’000</w:t>
            </w:r>
          </w:p>
        </w:tc>
        <w:tc>
          <w:tcPr>
            <w:tcW w:w="1416"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£’000</w:t>
            </w:r>
          </w:p>
        </w:tc>
        <w:tc>
          <w:tcPr>
            <w:tcW w:w="1420"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£’000</w:t>
            </w:r>
          </w:p>
        </w:tc>
      </w:tr>
      <w:tr w:rsidR="00FD4E79" w:rsidRPr="00FD4E79" w:rsidTr="00BA47A1">
        <w:trPr>
          <w:trHeight w:val="556"/>
        </w:trPr>
        <w:tc>
          <w:tcPr>
            <w:tcW w:w="1935"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Total Expenditure</w:t>
            </w:r>
          </w:p>
        </w:tc>
        <w:tc>
          <w:tcPr>
            <w:tcW w:w="1779" w:type="dxa"/>
          </w:tcPr>
          <w:p w:rsidR="00FD4E79" w:rsidRPr="00FD4E79" w:rsidRDefault="00FD4E79">
            <w:pPr>
              <w:autoSpaceDE w:val="0"/>
              <w:autoSpaceDN w:val="0"/>
              <w:adjustRightInd w:val="0"/>
              <w:rPr>
                <w:rFonts w:cs="Arial"/>
                <w:szCs w:val="24"/>
                <w:lang w:eastAsia="en-GB"/>
              </w:rPr>
            </w:pPr>
            <w:r w:rsidRPr="00FD4E79">
              <w:rPr>
                <w:rFonts w:cs="Arial"/>
                <w:szCs w:val="24"/>
                <w:lang w:eastAsia="en-GB"/>
              </w:rPr>
              <w:t xml:space="preserve">   70,</w:t>
            </w:r>
            <w:r w:rsidR="0090694C">
              <w:rPr>
                <w:rFonts w:cs="Arial"/>
                <w:szCs w:val="24"/>
                <w:lang w:eastAsia="en-GB"/>
              </w:rPr>
              <w:t>996</w:t>
            </w:r>
          </w:p>
        </w:tc>
        <w:tc>
          <w:tcPr>
            <w:tcW w:w="1528" w:type="dxa"/>
          </w:tcPr>
          <w:p w:rsidR="00FD4E79" w:rsidRPr="00FD4E79" w:rsidRDefault="00FD4E79">
            <w:pPr>
              <w:autoSpaceDE w:val="0"/>
              <w:autoSpaceDN w:val="0"/>
              <w:adjustRightInd w:val="0"/>
              <w:rPr>
                <w:rFonts w:cs="Arial"/>
                <w:szCs w:val="24"/>
                <w:lang w:eastAsia="en-GB"/>
              </w:rPr>
            </w:pPr>
            <w:r w:rsidRPr="00FD4E79">
              <w:rPr>
                <w:rFonts w:cs="Arial"/>
                <w:szCs w:val="24"/>
                <w:lang w:eastAsia="en-GB"/>
              </w:rPr>
              <w:t>16</w:t>
            </w:r>
            <w:r w:rsidR="0090694C">
              <w:rPr>
                <w:rFonts w:cs="Arial"/>
                <w:szCs w:val="24"/>
                <w:lang w:eastAsia="en-GB"/>
              </w:rPr>
              <w:t>2</w:t>
            </w:r>
            <w:r w:rsidRPr="00FD4E79">
              <w:rPr>
                <w:rFonts w:cs="Arial"/>
                <w:szCs w:val="24"/>
                <w:lang w:eastAsia="en-GB"/>
              </w:rPr>
              <w:t>,</w:t>
            </w:r>
            <w:r w:rsidR="0090694C">
              <w:rPr>
                <w:rFonts w:cs="Arial"/>
                <w:szCs w:val="24"/>
                <w:lang w:eastAsia="en-GB"/>
              </w:rPr>
              <w:t>120</w:t>
            </w:r>
          </w:p>
        </w:tc>
        <w:tc>
          <w:tcPr>
            <w:tcW w:w="1416" w:type="dxa"/>
          </w:tcPr>
          <w:p w:rsidR="00FD4E79" w:rsidRPr="00FD4E79" w:rsidRDefault="00FD4E79" w:rsidP="00662DEC">
            <w:pPr>
              <w:autoSpaceDE w:val="0"/>
              <w:autoSpaceDN w:val="0"/>
              <w:adjustRightInd w:val="0"/>
              <w:rPr>
                <w:rFonts w:cs="Arial"/>
                <w:szCs w:val="24"/>
                <w:lang w:eastAsia="en-GB"/>
              </w:rPr>
            </w:pPr>
            <w:r w:rsidRPr="00FD4E79">
              <w:rPr>
                <w:rFonts w:cs="Arial"/>
                <w:szCs w:val="24"/>
                <w:lang w:eastAsia="en-GB"/>
              </w:rPr>
              <w:t xml:space="preserve"> 3</w:t>
            </w:r>
            <w:r w:rsidR="004317C9">
              <w:rPr>
                <w:rFonts w:cs="Arial"/>
                <w:szCs w:val="24"/>
                <w:lang w:eastAsia="en-GB"/>
              </w:rPr>
              <w:t>5</w:t>
            </w:r>
            <w:r w:rsidR="0090694C">
              <w:rPr>
                <w:rFonts w:cs="Arial"/>
                <w:szCs w:val="24"/>
                <w:lang w:eastAsia="en-GB"/>
              </w:rPr>
              <w:t>,534</w:t>
            </w:r>
          </w:p>
        </w:tc>
        <w:tc>
          <w:tcPr>
            <w:tcW w:w="1420" w:type="dxa"/>
          </w:tcPr>
          <w:p w:rsidR="00FD4E79" w:rsidRPr="00FD4E79" w:rsidRDefault="00FD4E79">
            <w:pPr>
              <w:autoSpaceDE w:val="0"/>
              <w:autoSpaceDN w:val="0"/>
              <w:adjustRightInd w:val="0"/>
              <w:rPr>
                <w:rFonts w:cs="Arial"/>
                <w:szCs w:val="24"/>
                <w:lang w:eastAsia="en-GB"/>
              </w:rPr>
            </w:pPr>
            <w:r w:rsidRPr="00FD4E79">
              <w:rPr>
                <w:rFonts w:cs="Arial"/>
                <w:szCs w:val="24"/>
                <w:lang w:eastAsia="en-GB"/>
              </w:rPr>
              <w:t>268,</w:t>
            </w:r>
            <w:r w:rsidR="0090694C">
              <w:rPr>
                <w:rFonts w:cs="Arial"/>
                <w:szCs w:val="24"/>
                <w:lang w:eastAsia="en-GB"/>
              </w:rPr>
              <w:t>650</w:t>
            </w:r>
          </w:p>
        </w:tc>
      </w:tr>
      <w:tr w:rsidR="00FD4E79" w:rsidRPr="00FD4E79" w:rsidTr="00BA47A1">
        <w:trPr>
          <w:trHeight w:val="284"/>
        </w:trPr>
        <w:tc>
          <w:tcPr>
            <w:tcW w:w="1935"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Previous budget</w:t>
            </w:r>
          </w:p>
        </w:tc>
        <w:tc>
          <w:tcPr>
            <w:tcW w:w="1779"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197,870</w:t>
            </w:r>
          </w:p>
        </w:tc>
        <w:tc>
          <w:tcPr>
            <w:tcW w:w="1528"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81,638</w:t>
            </w:r>
          </w:p>
        </w:tc>
        <w:tc>
          <w:tcPr>
            <w:tcW w:w="1416"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 xml:space="preserve">          0</w:t>
            </w:r>
          </w:p>
        </w:tc>
        <w:tc>
          <w:tcPr>
            <w:tcW w:w="1420"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279,508</w:t>
            </w:r>
          </w:p>
        </w:tc>
      </w:tr>
      <w:tr w:rsidR="00FD4E79" w:rsidRPr="00FD4E79" w:rsidTr="00BA47A1">
        <w:trPr>
          <w:trHeight w:val="284"/>
        </w:trPr>
        <w:tc>
          <w:tcPr>
            <w:tcW w:w="1935" w:type="dxa"/>
          </w:tcPr>
          <w:p w:rsidR="00FD4E79" w:rsidRPr="00FD4E79" w:rsidRDefault="00FD4E79" w:rsidP="00FD4E79">
            <w:pPr>
              <w:autoSpaceDE w:val="0"/>
              <w:autoSpaceDN w:val="0"/>
              <w:adjustRightInd w:val="0"/>
              <w:rPr>
                <w:rFonts w:cs="Arial"/>
                <w:szCs w:val="24"/>
                <w:lang w:eastAsia="en-GB"/>
              </w:rPr>
            </w:pPr>
            <w:r w:rsidRPr="00FD4E79">
              <w:rPr>
                <w:rFonts w:cs="Arial"/>
                <w:szCs w:val="24"/>
                <w:lang w:eastAsia="en-GB"/>
              </w:rPr>
              <w:t>Variation</w:t>
            </w:r>
          </w:p>
        </w:tc>
        <w:tc>
          <w:tcPr>
            <w:tcW w:w="1779" w:type="dxa"/>
          </w:tcPr>
          <w:p w:rsidR="00FD4E79" w:rsidRPr="00FD4E79" w:rsidRDefault="00FD4E79">
            <w:pPr>
              <w:autoSpaceDE w:val="0"/>
              <w:autoSpaceDN w:val="0"/>
              <w:adjustRightInd w:val="0"/>
              <w:rPr>
                <w:rFonts w:cs="Arial"/>
                <w:szCs w:val="24"/>
                <w:lang w:eastAsia="en-GB"/>
              </w:rPr>
            </w:pPr>
            <w:r w:rsidRPr="00FD4E79">
              <w:rPr>
                <w:rFonts w:cs="Arial"/>
                <w:szCs w:val="24"/>
                <w:lang w:eastAsia="en-GB"/>
              </w:rPr>
              <w:t>(12</w:t>
            </w:r>
            <w:r w:rsidR="0090694C">
              <w:rPr>
                <w:rFonts w:cs="Arial"/>
                <w:szCs w:val="24"/>
                <w:lang w:eastAsia="en-GB"/>
              </w:rPr>
              <w:t>6</w:t>
            </w:r>
            <w:r w:rsidRPr="00FD4E79">
              <w:rPr>
                <w:rFonts w:cs="Arial"/>
                <w:szCs w:val="24"/>
                <w:lang w:eastAsia="en-GB"/>
              </w:rPr>
              <w:t>,</w:t>
            </w:r>
            <w:r w:rsidR="0090694C">
              <w:rPr>
                <w:rFonts w:cs="Arial"/>
                <w:szCs w:val="24"/>
                <w:lang w:eastAsia="en-GB"/>
              </w:rPr>
              <w:t>874)</w:t>
            </w:r>
          </w:p>
        </w:tc>
        <w:tc>
          <w:tcPr>
            <w:tcW w:w="1528" w:type="dxa"/>
          </w:tcPr>
          <w:p w:rsidR="00FD4E79" w:rsidRPr="00FD4E79" w:rsidRDefault="00FD4E79">
            <w:pPr>
              <w:autoSpaceDE w:val="0"/>
              <w:autoSpaceDN w:val="0"/>
              <w:adjustRightInd w:val="0"/>
              <w:rPr>
                <w:rFonts w:cs="Arial"/>
                <w:szCs w:val="24"/>
                <w:lang w:eastAsia="en-GB"/>
              </w:rPr>
            </w:pPr>
            <w:r w:rsidRPr="00FD4E79">
              <w:rPr>
                <w:rFonts w:cs="Arial"/>
                <w:szCs w:val="24"/>
                <w:lang w:eastAsia="en-GB"/>
              </w:rPr>
              <w:t xml:space="preserve">  8</w:t>
            </w:r>
            <w:r w:rsidR="0090694C">
              <w:rPr>
                <w:rFonts w:cs="Arial"/>
                <w:szCs w:val="24"/>
                <w:lang w:eastAsia="en-GB"/>
              </w:rPr>
              <w:t>0</w:t>
            </w:r>
            <w:r w:rsidRPr="00FD4E79">
              <w:rPr>
                <w:rFonts w:cs="Arial"/>
                <w:szCs w:val="24"/>
                <w:lang w:eastAsia="en-GB"/>
              </w:rPr>
              <w:t>,</w:t>
            </w:r>
            <w:r w:rsidR="0090694C">
              <w:rPr>
                <w:rFonts w:cs="Arial"/>
                <w:szCs w:val="24"/>
                <w:lang w:eastAsia="en-GB"/>
              </w:rPr>
              <w:t>482</w:t>
            </w:r>
          </w:p>
        </w:tc>
        <w:tc>
          <w:tcPr>
            <w:tcW w:w="1416" w:type="dxa"/>
          </w:tcPr>
          <w:p w:rsidR="00FD4E79" w:rsidRPr="00FD4E79" w:rsidRDefault="00FD4E79">
            <w:pPr>
              <w:autoSpaceDE w:val="0"/>
              <w:autoSpaceDN w:val="0"/>
              <w:adjustRightInd w:val="0"/>
              <w:rPr>
                <w:rFonts w:cs="Arial"/>
                <w:szCs w:val="24"/>
                <w:lang w:eastAsia="en-GB"/>
              </w:rPr>
            </w:pPr>
            <w:r w:rsidRPr="00FD4E79">
              <w:rPr>
                <w:rFonts w:cs="Arial"/>
                <w:szCs w:val="24"/>
                <w:lang w:eastAsia="en-GB"/>
              </w:rPr>
              <w:t xml:space="preserve"> 3</w:t>
            </w:r>
            <w:r w:rsidR="0090694C">
              <w:rPr>
                <w:rFonts w:cs="Arial"/>
                <w:szCs w:val="24"/>
                <w:lang w:eastAsia="en-GB"/>
              </w:rPr>
              <w:t>5</w:t>
            </w:r>
            <w:r w:rsidRPr="00FD4E79">
              <w:rPr>
                <w:rFonts w:cs="Arial"/>
                <w:szCs w:val="24"/>
                <w:lang w:eastAsia="en-GB"/>
              </w:rPr>
              <w:t>,</w:t>
            </w:r>
            <w:r w:rsidR="0090694C">
              <w:rPr>
                <w:rFonts w:cs="Arial"/>
                <w:szCs w:val="24"/>
                <w:lang w:eastAsia="en-GB"/>
              </w:rPr>
              <w:t>534</w:t>
            </w:r>
          </w:p>
        </w:tc>
        <w:tc>
          <w:tcPr>
            <w:tcW w:w="1420" w:type="dxa"/>
          </w:tcPr>
          <w:p w:rsidR="00FD4E79" w:rsidRPr="00FD4E79" w:rsidRDefault="00FD4E79">
            <w:pPr>
              <w:autoSpaceDE w:val="0"/>
              <w:autoSpaceDN w:val="0"/>
              <w:adjustRightInd w:val="0"/>
              <w:rPr>
                <w:rFonts w:cs="Arial"/>
                <w:szCs w:val="24"/>
                <w:lang w:eastAsia="en-GB"/>
              </w:rPr>
            </w:pPr>
            <w:r w:rsidRPr="00FD4E79">
              <w:rPr>
                <w:rFonts w:cs="Arial"/>
                <w:szCs w:val="24"/>
                <w:lang w:eastAsia="en-GB"/>
              </w:rPr>
              <w:t>(1</w:t>
            </w:r>
            <w:r w:rsidR="0090694C">
              <w:rPr>
                <w:rFonts w:cs="Arial"/>
                <w:szCs w:val="24"/>
                <w:lang w:eastAsia="en-GB"/>
              </w:rPr>
              <w:t>0</w:t>
            </w:r>
            <w:r w:rsidRPr="00FD4E79">
              <w:rPr>
                <w:rFonts w:cs="Arial"/>
                <w:szCs w:val="24"/>
                <w:lang w:eastAsia="en-GB"/>
              </w:rPr>
              <w:t>,</w:t>
            </w:r>
            <w:r w:rsidR="0090694C">
              <w:rPr>
                <w:rFonts w:cs="Arial"/>
                <w:szCs w:val="24"/>
                <w:lang w:eastAsia="en-GB"/>
              </w:rPr>
              <w:t>858</w:t>
            </w:r>
            <w:r w:rsidRPr="00FD4E79">
              <w:rPr>
                <w:rFonts w:cs="Arial"/>
                <w:szCs w:val="24"/>
                <w:lang w:eastAsia="en-GB"/>
              </w:rPr>
              <w:t>)</w:t>
            </w:r>
          </w:p>
        </w:tc>
      </w:tr>
    </w:tbl>
    <w:p w:rsidR="00090FE1" w:rsidRDefault="00090FE1" w:rsidP="00BA47A1">
      <w:pPr>
        <w:spacing w:after="120"/>
        <w:jc w:val="both"/>
        <w:rPr>
          <w:rFonts w:cs="Arial"/>
          <w:szCs w:val="24"/>
        </w:rPr>
      </w:pPr>
    </w:p>
    <w:p w:rsidR="00FD4E79" w:rsidRDefault="00FD4E79" w:rsidP="00BA47A1">
      <w:pPr>
        <w:pStyle w:val="ListParagraph"/>
        <w:numPr>
          <w:ilvl w:val="0"/>
          <w:numId w:val="27"/>
        </w:numPr>
        <w:autoSpaceDE w:val="0"/>
        <w:autoSpaceDN w:val="0"/>
        <w:adjustRightInd w:val="0"/>
        <w:rPr>
          <w:rFonts w:eastAsia="Calibri" w:cs="Arial"/>
          <w:szCs w:val="24"/>
          <w:lang w:eastAsia="en-GB"/>
        </w:rPr>
      </w:pPr>
      <w:r w:rsidRPr="00D638A8">
        <w:rPr>
          <w:rFonts w:cs="Arial"/>
          <w:szCs w:val="24"/>
        </w:rPr>
        <w:t xml:space="preserve">As a </w:t>
      </w:r>
      <w:r w:rsidRPr="00BA47A1">
        <w:rPr>
          <w:rFonts w:cs="Arial"/>
          <w:szCs w:val="24"/>
        </w:rPr>
        <w:t>result</w:t>
      </w:r>
      <w:r w:rsidRPr="00BA47A1">
        <w:rPr>
          <w:rFonts w:eastAsia="Calibri" w:cs="Arial"/>
          <w:szCs w:val="24"/>
          <w:lang w:eastAsia="en-GB"/>
        </w:rPr>
        <w:t xml:space="preserve"> of the reduction in the overall capital requirement, £3</w:t>
      </w:r>
      <w:r w:rsidR="00662DEC">
        <w:rPr>
          <w:rFonts w:eastAsia="Calibri" w:cs="Arial"/>
          <w:szCs w:val="24"/>
          <w:lang w:eastAsia="en-GB"/>
        </w:rPr>
        <w:t>3</w:t>
      </w:r>
      <w:r w:rsidRPr="00BA47A1">
        <w:rPr>
          <w:rFonts w:eastAsia="Calibri" w:cs="Arial"/>
          <w:szCs w:val="24"/>
          <w:lang w:eastAsia="en-GB"/>
        </w:rPr>
        <w:t>m will no longer need to be borrowed. Borrowing strategies are being developed which will enable interest rates to be controlled. These include structuring new borrowing with a mix of maturities, such as short-term borrowing (e.g. 3/5/7 year loans) over the development period to enable the Council to access the cheaper rates currently available for these maturities and long term borrowing once the private rented sector units become operational.</w:t>
      </w:r>
    </w:p>
    <w:p w:rsidR="00FD4E79" w:rsidRPr="00D638A8" w:rsidRDefault="00FD4E79" w:rsidP="00BA47A1">
      <w:pPr>
        <w:pStyle w:val="ListParagraph"/>
        <w:autoSpaceDE w:val="0"/>
        <w:autoSpaceDN w:val="0"/>
        <w:adjustRightInd w:val="0"/>
        <w:ind w:left="360"/>
        <w:rPr>
          <w:rFonts w:eastAsia="Calibri" w:cs="Arial"/>
          <w:szCs w:val="24"/>
          <w:lang w:eastAsia="en-GB"/>
        </w:rPr>
      </w:pPr>
    </w:p>
    <w:p w:rsidR="00C6497B" w:rsidRDefault="00C6497B" w:rsidP="00BA47A1">
      <w:pPr>
        <w:pStyle w:val="ListParagraph"/>
        <w:numPr>
          <w:ilvl w:val="0"/>
          <w:numId w:val="27"/>
        </w:numPr>
        <w:autoSpaceDE w:val="0"/>
        <w:autoSpaceDN w:val="0"/>
        <w:adjustRightInd w:val="0"/>
        <w:rPr>
          <w:rFonts w:eastAsia="Calibri" w:cs="Arial"/>
          <w:szCs w:val="24"/>
          <w:lang w:eastAsia="en-GB"/>
        </w:rPr>
      </w:pPr>
      <w:r w:rsidRPr="00BA47A1">
        <w:rPr>
          <w:rFonts w:cs="Arial"/>
          <w:szCs w:val="24"/>
        </w:rPr>
        <w:t xml:space="preserve">The </w:t>
      </w:r>
      <w:r w:rsidRPr="00C6497B">
        <w:rPr>
          <w:rFonts w:cs="Arial"/>
          <w:szCs w:val="24"/>
        </w:rPr>
        <w:t xml:space="preserve">January </w:t>
      </w:r>
      <w:r w:rsidRPr="00C6497B">
        <w:rPr>
          <w:rFonts w:eastAsia="Calibri" w:cs="Arial"/>
          <w:szCs w:val="24"/>
          <w:lang w:eastAsia="en-GB"/>
        </w:rPr>
        <w:t>2017</w:t>
      </w:r>
      <w:r w:rsidRPr="00D638A8">
        <w:rPr>
          <w:rFonts w:eastAsia="Calibri" w:cs="Arial"/>
          <w:szCs w:val="24"/>
          <w:lang w:eastAsia="en-GB"/>
        </w:rPr>
        <w:t xml:space="preserve"> programme assumed previously created flexibilities being used to fund expenditure in the period until a positive cash</w:t>
      </w:r>
      <w:r>
        <w:rPr>
          <w:rFonts w:eastAsia="Calibri" w:cs="Arial"/>
          <w:szCs w:val="24"/>
          <w:lang w:eastAsia="en-GB"/>
        </w:rPr>
        <w:t xml:space="preserve"> </w:t>
      </w:r>
      <w:r w:rsidRPr="00D638A8">
        <w:rPr>
          <w:rFonts w:eastAsia="Calibri" w:cs="Arial"/>
          <w:szCs w:val="24"/>
          <w:lang w:eastAsia="en-GB"/>
        </w:rPr>
        <w:t xml:space="preserve">flow after capital financing being used. The current model assumes the same principle however; the level of </w:t>
      </w:r>
      <w:r w:rsidRPr="00BA47A1">
        <w:rPr>
          <w:rFonts w:eastAsia="Calibri" w:cs="Arial"/>
          <w:szCs w:val="24"/>
          <w:lang w:eastAsia="en-GB"/>
        </w:rPr>
        <w:t>flexibilities is reduced.</w:t>
      </w:r>
    </w:p>
    <w:p w:rsidR="00C6497B" w:rsidRPr="00D638A8" w:rsidRDefault="00C6497B" w:rsidP="00BA47A1">
      <w:pPr>
        <w:pStyle w:val="ListParagraph"/>
        <w:rPr>
          <w:rFonts w:eastAsia="Calibri" w:cs="Arial"/>
          <w:szCs w:val="24"/>
          <w:lang w:eastAsia="en-GB"/>
        </w:rPr>
      </w:pPr>
    </w:p>
    <w:p w:rsidR="00FD4E79" w:rsidRDefault="00C6497B" w:rsidP="00BA47A1">
      <w:pPr>
        <w:pStyle w:val="ListParagraph"/>
        <w:numPr>
          <w:ilvl w:val="0"/>
          <w:numId w:val="27"/>
        </w:numPr>
        <w:spacing w:after="120"/>
        <w:jc w:val="both"/>
        <w:rPr>
          <w:rFonts w:cs="Arial"/>
          <w:szCs w:val="24"/>
        </w:rPr>
      </w:pPr>
      <w:r>
        <w:rPr>
          <w:rFonts w:cs="Arial"/>
          <w:szCs w:val="24"/>
        </w:rPr>
        <w:t xml:space="preserve"> The design and </w:t>
      </w:r>
      <w:r>
        <w:rPr>
          <w:rFonts w:cs="Arial"/>
          <w:szCs w:val="24"/>
          <w:lang w:eastAsia="en-GB"/>
        </w:rPr>
        <w:t>tenure mix of new housing will be adjusted and finalized as each project proceeds through the planning process, to ensure that schemes are financially viable. Table 7 shows the current tenure assumptions:</w:t>
      </w:r>
    </w:p>
    <w:p w:rsidR="00C6497B" w:rsidRDefault="00C6497B"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662DEC" w:rsidRDefault="00662DEC"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Default="00E16C05" w:rsidP="00BA47A1">
      <w:pPr>
        <w:pStyle w:val="ListParagraph"/>
        <w:rPr>
          <w:rFonts w:cs="Arial"/>
          <w:szCs w:val="24"/>
        </w:rPr>
      </w:pPr>
    </w:p>
    <w:p w:rsidR="00E16C05" w:rsidRPr="00D638A8" w:rsidRDefault="00E16C05" w:rsidP="00BA47A1">
      <w:pPr>
        <w:pStyle w:val="ListParagraph"/>
        <w:rPr>
          <w:rFonts w:cs="Arial"/>
          <w:szCs w:val="24"/>
        </w:rPr>
      </w:pPr>
    </w:p>
    <w:p w:rsidR="00C6497B" w:rsidRPr="00BA47A1" w:rsidRDefault="00C6497B" w:rsidP="00BA47A1">
      <w:pPr>
        <w:autoSpaceDE w:val="0"/>
        <w:autoSpaceDN w:val="0"/>
        <w:adjustRightInd w:val="0"/>
        <w:rPr>
          <w:rFonts w:eastAsia="Calibri" w:cs="Arial"/>
          <w:b/>
          <w:szCs w:val="24"/>
          <w:lang w:eastAsia="en-GB"/>
        </w:rPr>
      </w:pPr>
      <w:r w:rsidRPr="00BA47A1">
        <w:rPr>
          <w:rFonts w:eastAsia="Calibri" w:cs="Arial"/>
          <w:b/>
          <w:szCs w:val="24"/>
          <w:lang w:eastAsia="en-GB"/>
        </w:rPr>
        <w:t>Table 7: Tenure Assumptions</w:t>
      </w:r>
    </w:p>
    <w:tbl>
      <w:tblPr>
        <w:tblW w:w="8509" w:type="dxa"/>
        <w:tblInd w:w="103" w:type="dxa"/>
        <w:tblLook w:val="04A0" w:firstRow="1" w:lastRow="0" w:firstColumn="1" w:lastColumn="0" w:noHBand="0" w:noVBand="1"/>
      </w:tblPr>
      <w:tblGrid>
        <w:gridCol w:w="4264"/>
        <w:gridCol w:w="1306"/>
        <w:gridCol w:w="1306"/>
        <w:gridCol w:w="1633"/>
      </w:tblGrid>
      <w:tr w:rsidR="00C6497B" w:rsidRPr="00C6497B" w:rsidTr="00BA47A1">
        <w:trPr>
          <w:trHeight w:val="704"/>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C6497B" w:rsidRPr="00C6497B" w:rsidRDefault="00C6497B" w:rsidP="00C6497B">
            <w:pPr>
              <w:rPr>
                <w:rFonts w:ascii="Calibri" w:hAnsi="Calibri" w:cs="Arial"/>
                <w:b/>
                <w:bCs/>
                <w:sz w:val="22"/>
                <w:szCs w:val="22"/>
                <w:lang w:eastAsia="en-GB"/>
              </w:rPr>
            </w:pPr>
            <w:r w:rsidRPr="00C6497B">
              <w:rPr>
                <w:rFonts w:ascii="Calibri" w:hAnsi="Calibri" w:cs="Arial"/>
                <w:b/>
                <w:bCs/>
                <w:sz w:val="22"/>
                <w:szCs w:val="22"/>
                <w:lang w:eastAsia="en-GB"/>
              </w:rPr>
              <w:t>TENURE</w:t>
            </w:r>
          </w:p>
        </w:tc>
        <w:tc>
          <w:tcPr>
            <w:tcW w:w="1306" w:type="dxa"/>
            <w:tcBorders>
              <w:top w:val="single" w:sz="4" w:space="0" w:color="auto"/>
              <w:left w:val="nil"/>
              <w:bottom w:val="single" w:sz="4" w:space="0" w:color="auto"/>
              <w:right w:val="single" w:sz="4" w:space="0" w:color="auto"/>
            </w:tcBorders>
            <w:shd w:val="clear" w:color="auto" w:fill="auto"/>
            <w:vAlign w:val="center"/>
          </w:tcPr>
          <w:p w:rsidR="00C6497B" w:rsidRPr="00C6497B" w:rsidRDefault="00C6497B" w:rsidP="00C6497B">
            <w:pPr>
              <w:jc w:val="center"/>
              <w:rPr>
                <w:rFonts w:cs="Arial"/>
                <w:sz w:val="22"/>
                <w:szCs w:val="22"/>
                <w:lang w:eastAsia="en-GB"/>
              </w:rPr>
            </w:pPr>
            <w:r w:rsidRPr="00C6497B">
              <w:rPr>
                <w:rFonts w:cs="Arial"/>
                <w:b/>
                <w:bCs/>
                <w:color w:val="000000"/>
                <w:sz w:val="22"/>
                <w:szCs w:val="22"/>
                <w:lang w:eastAsia="en-GB"/>
              </w:rPr>
              <w:t>Jan 17</w:t>
            </w:r>
          </w:p>
        </w:tc>
        <w:tc>
          <w:tcPr>
            <w:tcW w:w="1306" w:type="dxa"/>
            <w:tcBorders>
              <w:top w:val="single" w:sz="4" w:space="0" w:color="auto"/>
              <w:left w:val="nil"/>
              <w:bottom w:val="single" w:sz="4" w:space="0" w:color="auto"/>
              <w:right w:val="single" w:sz="4" w:space="0" w:color="auto"/>
            </w:tcBorders>
            <w:shd w:val="clear" w:color="auto" w:fill="auto"/>
            <w:vAlign w:val="center"/>
          </w:tcPr>
          <w:p w:rsidR="00C6497B" w:rsidRPr="00C6497B" w:rsidRDefault="00C6497B" w:rsidP="00C6497B">
            <w:pPr>
              <w:jc w:val="center"/>
              <w:rPr>
                <w:rFonts w:cs="Arial"/>
                <w:sz w:val="22"/>
                <w:szCs w:val="22"/>
                <w:lang w:eastAsia="en-GB"/>
              </w:rPr>
            </w:pPr>
            <w:r w:rsidRPr="00C6497B">
              <w:rPr>
                <w:rFonts w:cs="Arial"/>
                <w:b/>
                <w:bCs/>
                <w:color w:val="000000"/>
                <w:sz w:val="22"/>
                <w:szCs w:val="22"/>
                <w:lang w:eastAsia="en-GB"/>
              </w:rPr>
              <w:t>Dec 17</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C6497B" w:rsidRPr="00C6497B" w:rsidRDefault="00C6497B" w:rsidP="00C6497B">
            <w:pPr>
              <w:jc w:val="center"/>
              <w:rPr>
                <w:rFonts w:cs="Arial"/>
                <w:sz w:val="22"/>
                <w:szCs w:val="22"/>
                <w:lang w:eastAsia="en-GB"/>
              </w:rPr>
            </w:pPr>
            <w:r w:rsidRPr="00C6497B">
              <w:rPr>
                <w:rFonts w:cs="Arial"/>
                <w:b/>
                <w:bCs/>
                <w:color w:val="000000"/>
                <w:sz w:val="22"/>
                <w:szCs w:val="22"/>
                <w:lang w:eastAsia="en-GB"/>
              </w:rPr>
              <w:t>Jan 18-Update</w:t>
            </w:r>
          </w:p>
        </w:tc>
      </w:tr>
      <w:tr w:rsidR="00C6497B" w:rsidRPr="00C6497B" w:rsidTr="00BA47A1">
        <w:trPr>
          <w:trHeight w:val="704"/>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sz w:val="22"/>
                <w:szCs w:val="22"/>
                <w:lang w:eastAsia="en-GB"/>
              </w:rPr>
            </w:pPr>
            <w:r w:rsidRPr="00C6497B">
              <w:rPr>
                <w:rFonts w:cs="Arial"/>
                <w:sz w:val="22"/>
                <w:szCs w:val="22"/>
                <w:lang w:eastAsia="en-GB"/>
              </w:rPr>
              <w:t>UNITS FOR MARKET RENT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509</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509</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480</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sz w:val="22"/>
                <w:szCs w:val="22"/>
                <w:lang w:eastAsia="en-GB"/>
              </w:rPr>
            </w:pPr>
            <w:r w:rsidRPr="00C6497B">
              <w:rPr>
                <w:rFonts w:cs="Arial"/>
                <w:sz w:val="22"/>
                <w:szCs w:val="22"/>
                <w:lang w:eastAsia="en-GB"/>
              </w:rPr>
              <w:t>UNITS FOR INTERMEDIATE RENT</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101</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133</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133</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sz w:val="22"/>
                <w:szCs w:val="22"/>
                <w:lang w:eastAsia="en-GB"/>
              </w:rPr>
            </w:pPr>
            <w:r w:rsidRPr="00C6497B">
              <w:rPr>
                <w:rFonts w:cs="Arial"/>
                <w:sz w:val="22"/>
                <w:szCs w:val="22"/>
                <w:lang w:eastAsia="en-GB"/>
              </w:rPr>
              <w:t>UINITS FOR AFFORDABLE RENT</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72</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92</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92</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sz w:val="22"/>
                <w:szCs w:val="22"/>
                <w:lang w:eastAsia="en-GB"/>
              </w:rPr>
            </w:pPr>
            <w:r w:rsidRPr="00C6497B">
              <w:rPr>
                <w:rFonts w:cs="Arial"/>
                <w:sz w:val="22"/>
                <w:szCs w:val="22"/>
                <w:lang w:eastAsia="en-GB"/>
              </w:rPr>
              <w:t>SOLD DIRECT TO PURACHSERS</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149</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21</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50</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sz w:val="22"/>
                <w:szCs w:val="22"/>
                <w:lang w:eastAsia="en-GB"/>
              </w:rPr>
            </w:pPr>
            <w:r w:rsidRPr="00C6497B">
              <w:rPr>
                <w:rFonts w:cs="Arial"/>
                <w:sz w:val="22"/>
                <w:szCs w:val="22"/>
                <w:lang w:eastAsia="en-GB"/>
              </w:rPr>
              <w:t>SOLD AS PRIVATE SALE TO RP/DEV</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sz w:val="22"/>
                <w:szCs w:val="22"/>
                <w:lang w:eastAsia="en-GB"/>
              </w:rPr>
            </w:pPr>
            <w:r w:rsidRPr="00C6497B">
              <w:rPr>
                <w:rFonts w:cs="Arial"/>
                <w:sz w:val="22"/>
                <w:szCs w:val="22"/>
                <w:lang w:eastAsia="en-GB"/>
              </w:rPr>
              <w:t>SOLD AS RENTED TO RP/DEV</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7</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r>
      <w:tr w:rsidR="00C6497B" w:rsidRPr="00C6497B" w:rsidTr="00BA47A1">
        <w:trPr>
          <w:trHeight w:val="446"/>
        </w:trPr>
        <w:tc>
          <w:tcPr>
            <w:tcW w:w="4264" w:type="dxa"/>
            <w:tcBorders>
              <w:top w:val="nil"/>
              <w:left w:val="single" w:sz="4" w:space="0" w:color="auto"/>
              <w:bottom w:val="nil"/>
              <w:right w:val="single" w:sz="4" w:space="0" w:color="auto"/>
            </w:tcBorders>
            <w:shd w:val="clear" w:color="auto" w:fill="auto"/>
            <w:vAlign w:val="center"/>
            <w:hideMark/>
          </w:tcPr>
          <w:p w:rsidR="00C6497B" w:rsidRPr="00C6497B" w:rsidRDefault="00C6497B" w:rsidP="00C6497B">
            <w:pPr>
              <w:rPr>
                <w:rFonts w:cs="Arial"/>
                <w:sz w:val="22"/>
                <w:szCs w:val="22"/>
                <w:lang w:eastAsia="en-GB"/>
              </w:rPr>
            </w:pPr>
            <w:r w:rsidRPr="00C6497B">
              <w:rPr>
                <w:rFonts w:cs="Arial"/>
                <w:sz w:val="22"/>
                <w:szCs w:val="22"/>
                <w:lang w:eastAsia="en-GB"/>
              </w:rPr>
              <w:t>SOLD AS SHARED OWNERSHIP TO RP/DEV</w:t>
            </w:r>
          </w:p>
        </w:tc>
        <w:tc>
          <w:tcPr>
            <w:tcW w:w="1306" w:type="dxa"/>
            <w:tcBorders>
              <w:top w:val="nil"/>
              <w:left w:val="nil"/>
              <w:bottom w:val="nil"/>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306" w:type="dxa"/>
            <w:tcBorders>
              <w:top w:val="nil"/>
              <w:left w:val="nil"/>
              <w:bottom w:val="nil"/>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633" w:type="dxa"/>
            <w:tcBorders>
              <w:top w:val="nil"/>
              <w:left w:val="single" w:sz="4" w:space="0" w:color="auto"/>
              <w:bottom w:val="nil"/>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r>
      <w:tr w:rsidR="00C6497B" w:rsidRPr="00C6497B" w:rsidTr="00BA47A1">
        <w:trPr>
          <w:trHeight w:val="235"/>
        </w:trPr>
        <w:tc>
          <w:tcPr>
            <w:tcW w:w="4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6497B" w:rsidRPr="00C6497B" w:rsidRDefault="00C6497B" w:rsidP="00C6497B">
            <w:pPr>
              <w:rPr>
                <w:rFonts w:cs="Arial"/>
                <w:b/>
                <w:bCs/>
                <w:color w:val="000000"/>
                <w:sz w:val="22"/>
                <w:szCs w:val="22"/>
                <w:lang w:eastAsia="en-GB"/>
              </w:rPr>
            </w:pPr>
            <w:r w:rsidRPr="00C6497B">
              <w:rPr>
                <w:rFonts w:cs="Arial"/>
                <w:b/>
                <w:bCs/>
                <w:color w:val="000000"/>
                <w:sz w:val="22"/>
                <w:szCs w:val="22"/>
                <w:lang w:eastAsia="en-GB"/>
              </w:rPr>
              <w:t>TOTAL RESIDENTIAL</w:t>
            </w:r>
          </w:p>
        </w:tc>
        <w:tc>
          <w:tcPr>
            <w:tcW w:w="1306" w:type="dxa"/>
            <w:tcBorders>
              <w:top w:val="single" w:sz="4" w:space="0" w:color="auto"/>
              <w:left w:val="nil"/>
              <w:bottom w:val="single" w:sz="4" w:space="0" w:color="auto"/>
              <w:right w:val="single" w:sz="4" w:space="0" w:color="auto"/>
            </w:tcBorders>
            <w:shd w:val="clear" w:color="000000" w:fill="D9D9D9"/>
            <w:vAlign w:val="center"/>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838</w:t>
            </w:r>
          </w:p>
        </w:tc>
        <w:tc>
          <w:tcPr>
            <w:tcW w:w="1306" w:type="dxa"/>
            <w:tcBorders>
              <w:top w:val="single" w:sz="4" w:space="0" w:color="auto"/>
              <w:left w:val="nil"/>
              <w:bottom w:val="single" w:sz="4" w:space="0" w:color="auto"/>
              <w:right w:val="single" w:sz="4" w:space="0" w:color="auto"/>
            </w:tcBorders>
            <w:shd w:val="clear" w:color="000000" w:fill="D9D9D9"/>
            <w:vAlign w:val="center"/>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755</w:t>
            </w:r>
          </w:p>
        </w:tc>
        <w:tc>
          <w:tcPr>
            <w:tcW w:w="163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755</w:t>
            </w:r>
          </w:p>
        </w:tc>
      </w:tr>
      <w:tr w:rsidR="00C6497B" w:rsidRPr="00C6497B" w:rsidTr="00BA47A1">
        <w:trPr>
          <w:trHeight w:val="223"/>
        </w:trPr>
        <w:tc>
          <w:tcPr>
            <w:tcW w:w="4264"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c>
          <w:tcPr>
            <w:tcW w:w="1306"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c>
          <w:tcPr>
            <w:tcW w:w="1306"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c>
          <w:tcPr>
            <w:tcW w:w="1633"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r>
      <w:tr w:rsidR="00C6497B" w:rsidRPr="00C6497B" w:rsidTr="00BA47A1">
        <w:trPr>
          <w:trHeight w:val="223"/>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color w:val="000000"/>
                <w:sz w:val="22"/>
                <w:szCs w:val="22"/>
                <w:lang w:eastAsia="en-GB"/>
              </w:rPr>
            </w:pPr>
            <w:r w:rsidRPr="00C6497B">
              <w:rPr>
                <w:rFonts w:cs="Arial"/>
                <w:color w:val="000000"/>
                <w:sz w:val="22"/>
                <w:szCs w:val="22"/>
                <w:lang w:eastAsia="en-GB"/>
              </w:rPr>
              <w:t>PARKING SPACES</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802</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194</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193</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color w:val="000000"/>
                <w:sz w:val="22"/>
                <w:szCs w:val="22"/>
                <w:lang w:eastAsia="en-GB"/>
              </w:rPr>
            </w:pPr>
            <w:r w:rsidRPr="00C6497B">
              <w:rPr>
                <w:rFonts w:cs="Arial"/>
                <w:color w:val="000000"/>
                <w:sz w:val="22"/>
                <w:szCs w:val="22"/>
                <w:lang w:eastAsia="en-GB"/>
              </w:rPr>
              <w:t>CIVIC CENTRE</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2</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color w:val="000000"/>
                <w:sz w:val="22"/>
                <w:szCs w:val="22"/>
                <w:lang w:eastAsia="en-GB"/>
              </w:rPr>
            </w:pPr>
            <w:r w:rsidRPr="00C6497B">
              <w:rPr>
                <w:rFonts w:cs="Arial"/>
                <w:color w:val="000000"/>
                <w:sz w:val="22"/>
                <w:szCs w:val="22"/>
                <w:lang w:eastAsia="en-GB"/>
              </w:rPr>
              <w:t>RETAIL UNITS</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2</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4</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3</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color w:val="000000"/>
                <w:sz w:val="22"/>
                <w:szCs w:val="22"/>
                <w:lang w:eastAsia="en-GB"/>
              </w:rPr>
            </w:pPr>
            <w:r w:rsidRPr="00C6497B">
              <w:rPr>
                <w:rFonts w:cs="Arial"/>
                <w:color w:val="000000"/>
                <w:sz w:val="22"/>
                <w:szCs w:val="22"/>
                <w:lang w:eastAsia="en-GB"/>
              </w:rPr>
              <w:t>COMMUNITY CENTRE</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3</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2</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w:t>
            </w:r>
          </w:p>
        </w:tc>
      </w:tr>
      <w:tr w:rsidR="00C6497B" w:rsidRPr="00C6497B" w:rsidTr="00BA47A1">
        <w:trPr>
          <w:trHeight w:val="246"/>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color w:val="000000"/>
                <w:sz w:val="22"/>
                <w:szCs w:val="22"/>
                <w:lang w:eastAsia="en-GB"/>
              </w:rPr>
            </w:pPr>
            <w:r w:rsidRPr="00C6497B">
              <w:rPr>
                <w:rFonts w:cs="Arial"/>
                <w:color w:val="000000"/>
                <w:sz w:val="22"/>
                <w:szCs w:val="22"/>
                <w:lang w:eastAsia="en-GB"/>
              </w:rPr>
              <w:t>OTHER 1</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3</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5</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3</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color w:val="000000"/>
                <w:sz w:val="22"/>
                <w:szCs w:val="22"/>
                <w:lang w:eastAsia="en-GB"/>
              </w:rPr>
            </w:pPr>
            <w:r w:rsidRPr="00C6497B">
              <w:rPr>
                <w:rFonts w:cs="Arial"/>
                <w:color w:val="000000"/>
                <w:sz w:val="22"/>
                <w:szCs w:val="22"/>
                <w:lang w:eastAsia="en-GB"/>
              </w:rPr>
              <w:t>OTHER 2</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3</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1</w:t>
            </w:r>
          </w:p>
        </w:tc>
      </w:tr>
      <w:tr w:rsidR="00C6497B" w:rsidRPr="00C6497B" w:rsidTr="00BA47A1">
        <w:trPr>
          <w:trHeight w:val="223"/>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rPr>
                <w:rFonts w:cs="Arial"/>
                <w:color w:val="000000"/>
                <w:sz w:val="22"/>
                <w:szCs w:val="22"/>
                <w:lang w:eastAsia="en-GB"/>
              </w:rPr>
            </w:pPr>
            <w:r w:rsidRPr="00C6497B">
              <w:rPr>
                <w:rFonts w:cs="Arial"/>
                <w:color w:val="000000"/>
                <w:sz w:val="22"/>
                <w:szCs w:val="22"/>
                <w:lang w:eastAsia="en-GB"/>
              </w:rPr>
              <w:t>LAND SALE</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306" w:type="dxa"/>
            <w:tcBorders>
              <w:top w:val="nil"/>
              <w:left w:val="nil"/>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c>
          <w:tcPr>
            <w:tcW w:w="1633" w:type="dxa"/>
            <w:tcBorders>
              <w:top w:val="nil"/>
              <w:left w:val="single" w:sz="4" w:space="0" w:color="auto"/>
              <w:bottom w:val="single" w:sz="4" w:space="0" w:color="auto"/>
              <w:right w:val="single" w:sz="4" w:space="0" w:color="auto"/>
            </w:tcBorders>
            <w:shd w:val="clear" w:color="auto" w:fill="auto"/>
            <w:vAlign w:val="center"/>
            <w:hideMark/>
          </w:tcPr>
          <w:p w:rsidR="00C6497B" w:rsidRPr="00C6497B" w:rsidRDefault="00C6497B" w:rsidP="00C6497B">
            <w:pPr>
              <w:jc w:val="center"/>
              <w:rPr>
                <w:rFonts w:cs="Arial"/>
                <w:sz w:val="22"/>
                <w:szCs w:val="22"/>
                <w:lang w:eastAsia="en-GB"/>
              </w:rPr>
            </w:pPr>
            <w:r w:rsidRPr="00C6497B">
              <w:rPr>
                <w:rFonts w:cs="Arial"/>
                <w:sz w:val="22"/>
                <w:szCs w:val="22"/>
                <w:lang w:eastAsia="en-GB"/>
              </w:rPr>
              <w:t>0</w:t>
            </w:r>
          </w:p>
        </w:tc>
      </w:tr>
      <w:tr w:rsidR="00C6497B" w:rsidRPr="00C6497B" w:rsidTr="00BA47A1">
        <w:trPr>
          <w:trHeight w:val="235"/>
        </w:trPr>
        <w:tc>
          <w:tcPr>
            <w:tcW w:w="4264" w:type="dxa"/>
            <w:tcBorders>
              <w:top w:val="nil"/>
              <w:left w:val="single" w:sz="4" w:space="0" w:color="auto"/>
              <w:bottom w:val="single" w:sz="4" w:space="0" w:color="auto"/>
              <w:right w:val="single" w:sz="4" w:space="0" w:color="auto"/>
            </w:tcBorders>
            <w:shd w:val="clear" w:color="000000" w:fill="D9D9D9"/>
            <w:vAlign w:val="center"/>
            <w:hideMark/>
          </w:tcPr>
          <w:p w:rsidR="00C6497B" w:rsidRPr="00C6497B" w:rsidRDefault="00C6497B" w:rsidP="00C6497B">
            <w:pPr>
              <w:rPr>
                <w:rFonts w:cs="Arial"/>
                <w:b/>
                <w:bCs/>
                <w:color w:val="000000"/>
                <w:sz w:val="22"/>
                <w:szCs w:val="22"/>
                <w:lang w:eastAsia="en-GB"/>
              </w:rPr>
            </w:pPr>
            <w:r w:rsidRPr="00C6497B">
              <w:rPr>
                <w:rFonts w:cs="Arial"/>
                <w:b/>
                <w:bCs/>
                <w:color w:val="000000"/>
                <w:sz w:val="22"/>
                <w:szCs w:val="22"/>
                <w:lang w:eastAsia="en-GB"/>
              </w:rPr>
              <w:t>TOTAL NON-RESIDENTIAL</w:t>
            </w:r>
          </w:p>
        </w:tc>
        <w:tc>
          <w:tcPr>
            <w:tcW w:w="1306" w:type="dxa"/>
            <w:tcBorders>
              <w:top w:val="nil"/>
              <w:left w:val="nil"/>
              <w:bottom w:val="single" w:sz="4" w:space="0" w:color="auto"/>
              <w:right w:val="single" w:sz="4" w:space="0" w:color="auto"/>
            </w:tcBorders>
            <w:shd w:val="clear" w:color="000000" w:fill="D9D9D9"/>
            <w:vAlign w:val="center"/>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811</w:t>
            </w:r>
          </w:p>
        </w:tc>
        <w:tc>
          <w:tcPr>
            <w:tcW w:w="1306" w:type="dxa"/>
            <w:tcBorders>
              <w:top w:val="nil"/>
              <w:left w:val="nil"/>
              <w:bottom w:val="single" w:sz="4" w:space="0" w:color="auto"/>
              <w:right w:val="single" w:sz="4" w:space="0" w:color="auto"/>
            </w:tcBorders>
            <w:shd w:val="clear" w:color="000000" w:fill="D9D9D9"/>
            <w:vAlign w:val="center"/>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210</w:t>
            </w:r>
          </w:p>
        </w:tc>
        <w:tc>
          <w:tcPr>
            <w:tcW w:w="1633" w:type="dxa"/>
            <w:tcBorders>
              <w:top w:val="nil"/>
              <w:left w:val="single" w:sz="4" w:space="0" w:color="auto"/>
              <w:bottom w:val="single" w:sz="4" w:space="0" w:color="auto"/>
              <w:right w:val="single" w:sz="4" w:space="0" w:color="auto"/>
            </w:tcBorders>
            <w:shd w:val="clear" w:color="000000" w:fill="D9D9D9"/>
            <w:vAlign w:val="center"/>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202</w:t>
            </w:r>
          </w:p>
        </w:tc>
      </w:tr>
      <w:tr w:rsidR="00C6497B" w:rsidRPr="00C6497B" w:rsidTr="00BA47A1">
        <w:trPr>
          <w:trHeight w:val="223"/>
        </w:trPr>
        <w:tc>
          <w:tcPr>
            <w:tcW w:w="4264"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c>
          <w:tcPr>
            <w:tcW w:w="1306"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c>
          <w:tcPr>
            <w:tcW w:w="1306"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c>
          <w:tcPr>
            <w:tcW w:w="1633" w:type="dxa"/>
            <w:tcBorders>
              <w:top w:val="nil"/>
              <w:left w:val="nil"/>
              <w:bottom w:val="nil"/>
              <w:right w:val="nil"/>
            </w:tcBorders>
            <w:shd w:val="clear" w:color="auto" w:fill="auto"/>
            <w:noWrap/>
            <w:vAlign w:val="bottom"/>
            <w:hideMark/>
          </w:tcPr>
          <w:p w:rsidR="00C6497B" w:rsidRPr="00C6497B" w:rsidRDefault="00C6497B" w:rsidP="00C6497B">
            <w:pPr>
              <w:rPr>
                <w:rFonts w:cs="Arial"/>
                <w:color w:val="000000"/>
                <w:sz w:val="22"/>
                <w:szCs w:val="22"/>
                <w:lang w:eastAsia="en-GB"/>
              </w:rPr>
            </w:pPr>
          </w:p>
        </w:tc>
      </w:tr>
      <w:tr w:rsidR="00C6497B" w:rsidRPr="00C6497B" w:rsidTr="00BA47A1">
        <w:trPr>
          <w:trHeight w:val="235"/>
        </w:trPr>
        <w:tc>
          <w:tcPr>
            <w:tcW w:w="426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497B" w:rsidRPr="00C6497B" w:rsidRDefault="00C6497B" w:rsidP="00C6497B">
            <w:pPr>
              <w:rPr>
                <w:rFonts w:cs="Arial"/>
                <w:b/>
                <w:bCs/>
                <w:color w:val="000000"/>
                <w:sz w:val="22"/>
                <w:szCs w:val="22"/>
                <w:lang w:eastAsia="en-GB"/>
              </w:rPr>
            </w:pPr>
            <w:r w:rsidRPr="00C6497B">
              <w:rPr>
                <w:rFonts w:cs="Arial"/>
                <w:b/>
                <w:bCs/>
                <w:color w:val="000000"/>
                <w:sz w:val="22"/>
                <w:szCs w:val="22"/>
                <w:lang w:eastAsia="en-GB"/>
              </w:rPr>
              <w:t>TOTAL - RESI &amp; NON RESIDENTIAL</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1649</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965</w:t>
            </w:r>
          </w:p>
        </w:tc>
        <w:tc>
          <w:tcPr>
            <w:tcW w:w="1633" w:type="dxa"/>
            <w:tcBorders>
              <w:top w:val="single" w:sz="4" w:space="0" w:color="auto"/>
              <w:left w:val="nil"/>
              <w:bottom w:val="single" w:sz="4" w:space="0" w:color="auto"/>
              <w:right w:val="single" w:sz="4" w:space="0" w:color="auto"/>
            </w:tcBorders>
            <w:shd w:val="clear" w:color="000000" w:fill="BFBFBF"/>
            <w:noWrap/>
            <w:vAlign w:val="bottom"/>
            <w:hideMark/>
          </w:tcPr>
          <w:p w:rsidR="00C6497B" w:rsidRPr="00C6497B" w:rsidRDefault="00C6497B" w:rsidP="00C6497B">
            <w:pPr>
              <w:jc w:val="center"/>
              <w:rPr>
                <w:rFonts w:cs="Arial"/>
                <w:b/>
                <w:bCs/>
                <w:color w:val="000000"/>
                <w:sz w:val="22"/>
                <w:szCs w:val="22"/>
                <w:lang w:eastAsia="en-GB"/>
              </w:rPr>
            </w:pPr>
            <w:r w:rsidRPr="00C6497B">
              <w:rPr>
                <w:rFonts w:cs="Arial"/>
                <w:b/>
                <w:bCs/>
                <w:color w:val="000000"/>
                <w:sz w:val="22"/>
                <w:szCs w:val="22"/>
                <w:lang w:eastAsia="en-GB"/>
              </w:rPr>
              <w:t>957</w:t>
            </w:r>
          </w:p>
        </w:tc>
      </w:tr>
    </w:tbl>
    <w:p w:rsidR="00014E24" w:rsidRPr="00BA47A1" w:rsidRDefault="00014E24" w:rsidP="00253BB4">
      <w:pPr>
        <w:spacing w:after="120"/>
        <w:ind w:left="567"/>
        <w:jc w:val="both"/>
        <w:rPr>
          <w:rFonts w:cs="Arial"/>
          <w:szCs w:val="24"/>
          <w:highlight w:val="yellow"/>
        </w:rPr>
      </w:pPr>
    </w:p>
    <w:p w:rsidR="00F261E7" w:rsidRPr="00662DEC" w:rsidRDefault="00014E24" w:rsidP="00662DEC">
      <w:pPr>
        <w:pStyle w:val="ListParagraph"/>
        <w:numPr>
          <w:ilvl w:val="0"/>
          <w:numId w:val="27"/>
        </w:numPr>
        <w:spacing w:after="120"/>
        <w:jc w:val="both"/>
        <w:rPr>
          <w:rFonts w:cs="Arial"/>
          <w:b/>
          <w:szCs w:val="24"/>
        </w:rPr>
      </w:pPr>
      <w:r w:rsidRPr="00662DEC">
        <w:rPr>
          <w:rFonts w:cs="Arial"/>
          <w:szCs w:val="24"/>
        </w:rPr>
        <w:t xml:space="preserve"> </w:t>
      </w:r>
      <w:r w:rsidR="00F261E7" w:rsidRPr="00662DEC">
        <w:rPr>
          <w:rFonts w:cs="Arial"/>
          <w:b/>
          <w:szCs w:val="24"/>
        </w:rPr>
        <w:t>Capital Receipts</w:t>
      </w:r>
    </w:p>
    <w:p w:rsidR="00014E24" w:rsidRPr="00610D69" w:rsidRDefault="00F261E7">
      <w:pPr>
        <w:autoSpaceDE w:val="0"/>
        <w:autoSpaceDN w:val="0"/>
        <w:adjustRightInd w:val="0"/>
        <w:spacing w:after="120"/>
        <w:ind w:left="567"/>
        <w:jc w:val="both"/>
        <w:rPr>
          <w:rFonts w:cs="Arial"/>
          <w:szCs w:val="24"/>
        </w:rPr>
      </w:pPr>
      <w:r w:rsidRPr="00BA47A1">
        <w:rPr>
          <w:rFonts w:cs="Arial"/>
          <w:szCs w:val="24"/>
        </w:rPr>
        <w:t xml:space="preserve">The Property Disposal Programme </w:t>
      </w:r>
      <w:r w:rsidR="00610D69" w:rsidRPr="00BA47A1">
        <w:rPr>
          <w:rFonts w:cs="Arial"/>
          <w:szCs w:val="24"/>
        </w:rPr>
        <w:t xml:space="preserve">2017/18 </w:t>
      </w:r>
      <w:r w:rsidRPr="00BA47A1">
        <w:rPr>
          <w:rFonts w:cs="Arial"/>
          <w:szCs w:val="24"/>
        </w:rPr>
        <w:t>was submitted to Cabinet on 7</w:t>
      </w:r>
      <w:r w:rsidRPr="00BA47A1">
        <w:rPr>
          <w:rFonts w:cs="Arial"/>
          <w:szCs w:val="24"/>
          <w:vertAlign w:val="superscript"/>
        </w:rPr>
        <w:t>th</w:t>
      </w:r>
      <w:r w:rsidRPr="00BA47A1">
        <w:rPr>
          <w:rFonts w:cs="Arial"/>
          <w:szCs w:val="24"/>
        </w:rPr>
        <w:t xml:space="preserve"> </w:t>
      </w:r>
      <w:r w:rsidR="00610D69" w:rsidRPr="00BA47A1">
        <w:rPr>
          <w:rFonts w:cs="Arial"/>
          <w:szCs w:val="24"/>
        </w:rPr>
        <w:t>December 2017</w:t>
      </w:r>
      <w:r w:rsidRPr="00BA47A1">
        <w:rPr>
          <w:rFonts w:cs="Arial"/>
          <w:szCs w:val="24"/>
        </w:rPr>
        <w:t xml:space="preserve">.  The asset </w:t>
      </w:r>
      <w:r w:rsidRPr="00BA47A1">
        <w:rPr>
          <w:rFonts w:ascii="TT35ACo00" w:hAnsi="TT35ACo00" w:cs="TT35ACo00"/>
          <w:szCs w:val="24"/>
          <w:lang w:eastAsia="en-GB"/>
        </w:rPr>
        <w:t xml:space="preserve">management strategy requires that surplus properties and those not meeting the Investment Strategy criteria are to be proposed for disposal to maximise capital receipts which can be used to fund service improvements across the Council. </w:t>
      </w:r>
      <w:r w:rsidR="00610D69" w:rsidRPr="00BA47A1">
        <w:rPr>
          <w:rFonts w:ascii="TT35ACo00" w:hAnsi="TT35ACo00" w:cs="TT35ACo00"/>
          <w:szCs w:val="24"/>
          <w:lang w:eastAsia="en-GB"/>
        </w:rPr>
        <w:t xml:space="preserve">As well as being used to fund Capital expenditure, the Council has the ability to apply capital receipts </w:t>
      </w:r>
      <w:r w:rsidRPr="00BA47A1">
        <w:rPr>
          <w:rFonts w:ascii="TT35ACo00" w:hAnsi="TT35ACo00" w:cs="TT35ACo00"/>
          <w:szCs w:val="24"/>
          <w:lang w:eastAsia="en-GB"/>
        </w:rPr>
        <w:t xml:space="preserve">to fund </w:t>
      </w:r>
      <w:r w:rsidR="00610D69" w:rsidRPr="00BA47A1">
        <w:rPr>
          <w:rFonts w:ascii="TT35ACo00" w:hAnsi="TT35ACo00" w:cs="TT35ACo00"/>
          <w:szCs w:val="24"/>
          <w:lang w:eastAsia="en-GB"/>
        </w:rPr>
        <w:t xml:space="preserve">revenue </w:t>
      </w:r>
      <w:r w:rsidRPr="00BA47A1">
        <w:rPr>
          <w:rFonts w:ascii="TT35ACo00" w:hAnsi="TT35ACo00" w:cs="TT35ACo00"/>
          <w:szCs w:val="24"/>
          <w:lang w:eastAsia="en-GB"/>
        </w:rPr>
        <w:t xml:space="preserve">expenditure that is incurred to generate on going revenue savings in the delivery of public services and / or transform service delivery to reduce costs and / or transfer service delivery in a way that reduces costs or demand in future years.  </w:t>
      </w:r>
      <w:r w:rsidR="00610D69" w:rsidRPr="00BA47A1">
        <w:rPr>
          <w:rFonts w:ascii="TT35ACo00" w:hAnsi="TT35ACo00" w:cs="TT35ACo00"/>
          <w:szCs w:val="24"/>
          <w:lang w:eastAsia="en-GB"/>
        </w:rPr>
        <w:t>This is permissible under the Capital Flexibilities Regulations that came in effect from 1</w:t>
      </w:r>
      <w:r w:rsidR="00610D69" w:rsidRPr="00BA47A1">
        <w:rPr>
          <w:rFonts w:ascii="TT35ACo00" w:hAnsi="TT35ACo00" w:cs="TT35ACo00"/>
          <w:szCs w:val="24"/>
          <w:vertAlign w:val="superscript"/>
          <w:lang w:eastAsia="en-GB"/>
        </w:rPr>
        <w:t>st</w:t>
      </w:r>
      <w:r w:rsidR="00610D69" w:rsidRPr="00BA47A1">
        <w:rPr>
          <w:rFonts w:ascii="TT35ACo00" w:hAnsi="TT35ACo00" w:cs="TT35ACo00"/>
          <w:szCs w:val="24"/>
          <w:lang w:eastAsia="en-GB"/>
        </w:rPr>
        <w:t xml:space="preserve"> April 2016 until 31</w:t>
      </w:r>
      <w:r w:rsidR="00610D69" w:rsidRPr="00BA47A1">
        <w:rPr>
          <w:rFonts w:ascii="TT35ACo00" w:hAnsi="TT35ACo00" w:cs="TT35ACo00"/>
          <w:szCs w:val="24"/>
          <w:vertAlign w:val="superscript"/>
          <w:lang w:eastAsia="en-GB"/>
        </w:rPr>
        <w:t>st</w:t>
      </w:r>
      <w:r w:rsidR="00610D69" w:rsidRPr="00BA47A1">
        <w:rPr>
          <w:rFonts w:ascii="TT35ACo00" w:hAnsi="TT35ACo00" w:cs="TT35ACo00"/>
          <w:szCs w:val="24"/>
          <w:lang w:eastAsia="en-GB"/>
        </w:rPr>
        <w:t xml:space="preserve"> March 2019.  As part of the recent Finance settlement for 2018/19, these flexibilities have been extended for a further 3 years.  In 2016/17, £2.3m of capital receipts were used to fund eligible revenue expenditure with a further £3m al</w:t>
      </w:r>
      <w:r w:rsidR="00457D57" w:rsidRPr="00BA47A1">
        <w:rPr>
          <w:rFonts w:ascii="TT35ACo00" w:hAnsi="TT35ACo00" w:cs="TT35ACo00"/>
          <w:szCs w:val="24"/>
          <w:lang w:eastAsia="en-GB"/>
        </w:rPr>
        <w:t>lowed for in the 2017/18 revenue budget</w:t>
      </w:r>
      <w:r w:rsidR="004317C9">
        <w:rPr>
          <w:rFonts w:ascii="TT35ACo00" w:hAnsi="TT35ACo00" w:cs="TT35ACo00"/>
          <w:szCs w:val="24"/>
          <w:lang w:eastAsia="en-GB"/>
        </w:rPr>
        <w:t xml:space="preserve"> and £2.7m in the 2018/19 budget</w:t>
      </w:r>
      <w:r w:rsidR="00457D57" w:rsidRPr="00BA47A1">
        <w:rPr>
          <w:rFonts w:ascii="TT35ACo00" w:hAnsi="TT35ACo00" w:cs="TT35ACo00"/>
          <w:szCs w:val="24"/>
          <w:lang w:eastAsia="en-GB"/>
        </w:rPr>
        <w:t>.</w:t>
      </w:r>
      <w:r w:rsidR="00610D69" w:rsidRPr="00BA47A1">
        <w:rPr>
          <w:rFonts w:ascii="TT35ACo00" w:hAnsi="TT35ACo00" w:cs="TT35ACo00"/>
          <w:szCs w:val="24"/>
          <w:lang w:eastAsia="en-GB"/>
        </w:rPr>
        <w:t xml:space="preserve"> </w:t>
      </w:r>
    </w:p>
    <w:p w:rsidR="00E16C05" w:rsidRDefault="00E16C05" w:rsidP="00105B2C">
      <w:pPr>
        <w:spacing w:after="240"/>
        <w:ind w:left="567" w:hanging="567"/>
        <w:jc w:val="both"/>
        <w:rPr>
          <w:rFonts w:cs="Arial"/>
          <w:b/>
          <w:szCs w:val="24"/>
        </w:rPr>
      </w:pPr>
    </w:p>
    <w:p w:rsidR="00105B2C" w:rsidRPr="00105B2C" w:rsidRDefault="006D68FB" w:rsidP="00662DEC">
      <w:pPr>
        <w:spacing w:after="240"/>
        <w:ind w:left="567"/>
        <w:jc w:val="both"/>
        <w:rPr>
          <w:rFonts w:cs="Arial"/>
          <w:b/>
          <w:szCs w:val="24"/>
        </w:rPr>
      </w:pPr>
      <w:r>
        <w:rPr>
          <w:rFonts w:cs="Arial"/>
          <w:b/>
          <w:szCs w:val="24"/>
        </w:rPr>
        <w:t>HOUSING REVENUE ACCOUNT</w:t>
      </w:r>
      <w:r w:rsidR="00105B2C" w:rsidRPr="00105B2C">
        <w:rPr>
          <w:rFonts w:cs="Arial"/>
          <w:b/>
          <w:szCs w:val="24"/>
        </w:rPr>
        <w:t xml:space="preserve"> (HRA)</w:t>
      </w:r>
    </w:p>
    <w:p w:rsidR="00480518" w:rsidRPr="00480518" w:rsidRDefault="00105B2C" w:rsidP="00480518">
      <w:pPr>
        <w:numPr>
          <w:ilvl w:val="0"/>
          <w:numId w:val="27"/>
        </w:numPr>
        <w:tabs>
          <w:tab w:val="clear" w:pos="360"/>
          <w:tab w:val="num" w:pos="1418"/>
          <w:tab w:val="num" w:pos="1843"/>
        </w:tabs>
        <w:spacing w:after="240"/>
        <w:ind w:left="567" w:hanging="567"/>
        <w:jc w:val="both"/>
      </w:pPr>
      <w:r w:rsidRPr="00E23647">
        <w:rPr>
          <w:rFonts w:cs="Arial"/>
          <w:szCs w:val="24"/>
        </w:rPr>
        <w:t xml:space="preserve">The </w:t>
      </w:r>
      <w:r w:rsidR="00BC19E9" w:rsidRPr="00E23647">
        <w:rPr>
          <w:rFonts w:cs="Arial"/>
          <w:szCs w:val="24"/>
        </w:rPr>
        <w:t xml:space="preserve">proposed </w:t>
      </w:r>
      <w:r w:rsidRPr="00E23647">
        <w:rPr>
          <w:rFonts w:cs="Arial"/>
          <w:szCs w:val="24"/>
        </w:rPr>
        <w:t>HRA Capital Programme is detailed in a separate report to Cabinet elsewhere on this agenda.</w:t>
      </w:r>
      <w:r w:rsidR="00E23647" w:rsidRPr="00E23647">
        <w:rPr>
          <w:rFonts w:cs="Arial"/>
          <w:szCs w:val="24"/>
        </w:rPr>
        <w:t xml:space="preserve">  Any implications from the HRA Capital Programme are funded from the Housing Revenue Account and do not impact upon the General Fund Budget.</w:t>
      </w:r>
    </w:p>
    <w:p w:rsidR="00E16C05" w:rsidRDefault="00E16C05" w:rsidP="00FF590B">
      <w:pPr>
        <w:tabs>
          <w:tab w:val="num" w:pos="2127"/>
        </w:tabs>
        <w:spacing w:after="120"/>
        <w:outlineLvl w:val="1"/>
        <w:rPr>
          <w:rFonts w:cs="Arial"/>
          <w:b/>
          <w:bCs/>
          <w:sz w:val="28"/>
          <w:szCs w:val="32"/>
        </w:rPr>
      </w:pPr>
    </w:p>
    <w:p w:rsidR="00480518" w:rsidRPr="00480518" w:rsidRDefault="0000008B" w:rsidP="00662DEC">
      <w:pPr>
        <w:tabs>
          <w:tab w:val="num" w:pos="567"/>
        </w:tabs>
        <w:spacing w:after="120"/>
        <w:outlineLvl w:val="1"/>
        <w:rPr>
          <w:rFonts w:cs="Arial"/>
          <w:b/>
          <w:bCs/>
          <w:sz w:val="28"/>
          <w:szCs w:val="32"/>
        </w:rPr>
      </w:pPr>
      <w:r>
        <w:rPr>
          <w:rFonts w:cs="Arial"/>
          <w:b/>
          <w:bCs/>
          <w:sz w:val="28"/>
          <w:szCs w:val="32"/>
        </w:rPr>
        <w:tab/>
      </w:r>
      <w:r w:rsidR="00480518" w:rsidRPr="00480518">
        <w:rPr>
          <w:rFonts w:cs="Arial"/>
          <w:b/>
          <w:bCs/>
          <w:sz w:val="28"/>
          <w:szCs w:val="32"/>
        </w:rPr>
        <w:t xml:space="preserve">Options considered </w:t>
      </w:r>
    </w:p>
    <w:p w:rsidR="00480518" w:rsidRPr="00480518" w:rsidRDefault="001F44EC" w:rsidP="00FF590B">
      <w:pPr>
        <w:numPr>
          <w:ilvl w:val="0"/>
          <w:numId w:val="27"/>
        </w:numPr>
        <w:tabs>
          <w:tab w:val="clear" w:pos="360"/>
          <w:tab w:val="num" w:pos="2268"/>
        </w:tabs>
        <w:ind w:left="709" w:hanging="709"/>
        <w:jc w:val="both"/>
        <w:rPr>
          <w:rFonts w:cs="Arial"/>
          <w:szCs w:val="24"/>
        </w:rPr>
      </w:pPr>
      <w:r>
        <w:t>A number of capital proposals are considered during the budget setting process.</w:t>
      </w:r>
    </w:p>
    <w:p w:rsidR="00480518" w:rsidRPr="00480518" w:rsidRDefault="00480518" w:rsidP="00480518"/>
    <w:p w:rsidR="00480518" w:rsidRPr="00480518" w:rsidRDefault="00480518" w:rsidP="00662DEC">
      <w:pPr>
        <w:spacing w:after="120"/>
        <w:ind w:firstLine="709"/>
        <w:outlineLvl w:val="1"/>
        <w:rPr>
          <w:rFonts w:cs="Arial"/>
          <w:b/>
          <w:bCs/>
          <w:sz w:val="28"/>
          <w:szCs w:val="32"/>
        </w:rPr>
      </w:pPr>
      <w:r w:rsidRPr="00480518">
        <w:rPr>
          <w:rFonts w:cs="Arial"/>
          <w:b/>
          <w:bCs/>
          <w:sz w:val="28"/>
          <w:szCs w:val="32"/>
        </w:rPr>
        <w:t>Legal Implications</w:t>
      </w:r>
    </w:p>
    <w:p w:rsidR="00480518" w:rsidRDefault="00480518" w:rsidP="00FF590B">
      <w:pPr>
        <w:numPr>
          <w:ilvl w:val="0"/>
          <w:numId w:val="27"/>
        </w:numPr>
        <w:tabs>
          <w:tab w:val="clear" w:pos="360"/>
          <w:tab w:val="num" w:pos="2268"/>
        </w:tabs>
        <w:ind w:left="709" w:hanging="709"/>
        <w:jc w:val="both"/>
      </w:pPr>
      <w:r w:rsidRPr="00480518">
        <w:t xml:space="preserve">Under the Financial Regulations paragraph B2 full council is responsible for agreeing the </w:t>
      </w:r>
      <w:r w:rsidR="001753D8">
        <w:t>A</w:t>
      </w:r>
      <w:r w:rsidRPr="00480518">
        <w:t xml:space="preserve">uthorities policy framework which are proposed by the </w:t>
      </w:r>
      <w:r w:rsidR="00A84ED1">
        <w:t>C</w:t>
      </w:r>
      <w:r w:rsidRPr="00480518">
        <w:t xml:space="preserve">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rsidR="000C14C9" w:rsidRDefault="000C14C9" w:rsidP="000C14C9">
      <w:pPr>
        <w:ind w:left="709"/>
        <w:jc w:val="both"/>
      </w:pPr>
    </w:p>
    <w:p w:rsidR="00480518" w:rsidRPr="00480518" w:rsidRDefault="00480518" w:rsidP="00662DEC">
      <w:pPr>
        <w:spacing w:after="120"/>
        <w:ind w:firstLine="709"/>
        <w:outlineLvl w:val="1"/>
        <w:rPr>
          <w:rFonts w:cs="Arial"/>
          <w:b/>
          <w:bCs/>
          <w:sz w:val="28"/>
          <w:szCs w:val="32"/>
        </w:rPr>
      </w:pPr>
      <w:r w:rsidRPr="00480518">
        <w:rPr>
          <w:rFonts w:cs="Arial"/>
          <w:b/>
          <w:bCs/>
          <w:sz w:val="28"/>
          <w:szCs w:val="32"/>
        </w:rPr>
        <w:t>Financial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proposals must be included in the revenue budget. </w:t>
      </w:r>
    </w:p>
    <w:p w:rsidR="00480518" w:rsidRPr="00480518" w:rsidRDefault="00480518" w:rsidP="00480518"/>
    <w:p w:rsidR="00480518" w:rsidRPr="00480518" w:rsidRDefault="00480518" w:rsidP="00662DEC">
      <w:pPr>
        <w:spacing w:after="120"/>
        <w:ind w:firstLine="709"/>
        <w:outlineLvl w:val="1"/>
        <w:rPr>
          <w:rFonts w:cs="Arial"/>
          <w:b/>
          <w:bCs/>
          <w:sz w:val="28"/>
          <w:szCs w:val="32"/>
        </w:rPr>
      </w:pPr>
      <w:r w:rsidRPr="00480518">
        <w:rPr>
          <w:rFonts w:cs="Arial"/>
          <w:b/>
          <w:bCs/>
          <w:sz w:val="28"/>
          <w:szCs w:val="32"/>
        </w:rPr>
        <w:t>Performance Issues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rsidR="00480518" w:rsidRPr="00480518" w:rsidRDefault="00480518" w:rsidP="00480518">
      <w:pPr>
        <w:ind w:left="567" w:hanging="567"/>
        <w:jc w:val="both"/>
        <w:rPr>
          <w:rFonts w:cs="Arial"/>
          <w:szCs w:val="24"/>
          <w:highlight w:val="green"/>
        </w:rPr>
      </w:pPr>
    </w:p>
    <w:p w:rsidR="00480518" w:rsidRDefault="00480518" w:rsidP="006D0A1B">
      <w:pPr>
        <w:numPr>
          <w:ilvl w:val="0"/>
          <w:numId w:val="27"/>
        </w:numPr>
        <w:tabs>
          <w:tab w:val="clear" w:pos="360"/>
          <w:tab w:val="num" w:pos="2268"/>
        </w:tabs>
        <w:ind w:left="709" w:hanging="709"/>
        <w:jc w:val="both"/>
        <w:rPr>
          <w:rFonts w:cs="Arial"/>
          <w:szCs w:val="24"/>
        </w:rPr>
      </w:pPr>
      <w:r w:rsidRPr="007F4BDA">
        <w:rPr>
          <w:rFonts w:cs="Arial"/>
          <w:szCs w:val="24"/>
        </w:rPr>
        <w:t xml:space="preserve">Monitoring of the approved programme, is ongoing and is essential for </w:t>
      </w:r>
      <w:r w:rsidR="007F4BDA">
        <w:rPr>
          <w:rFonts w:cs="Arial"/>
          <w:szCs w:val="24"/>
        </w:rPr>
        <w:t xml:space="preserve">  </w:t>
      </w:r>
      <w:r w:rsidR="00A84ED1">
        <w:rPr>
          <w:rFonts w:cs="Arial"/>
          <w:szCs w:val="24"/>
        </w:rPr>
        <w:t xml:space="preserve"> </w:t>
      </w:r>
      <w:r w:rsidRPr="007F4BDA">
        <w:rPr>
          <w:rFonts w:cs="Arial"/>
          <w:szCs w:val="24"/>
        </w:rPr>
        <w:t xml:space="preserve">good financial management. </w:t>
      </w:r>
    </w:p>
    <w:p w:rsidR="007F4BDA" w:rsidRDefault="007F4BDA" w:rsidP="007F4BDA">
      <w:pPr>
        <w:pStyle w:val="ListParagraph"/>
        <w:rPr>
          <w:rFonts w:cs="Arial"/>
          <w:szCs w:val="24"/>
        </w:rPr>
      </w:pPr>
    </w:p>
    <w:p w:rsidR="00480518" w:rsidRPr="00480518" w:rsidRDefault="00480518" w:rsidP="00FF590B">
      <w:pPr>
        <w:numPr>
          <w:ilvl w:val="0"/>
          <w:numId w:val="27"/>
        </w:numPr>
        <w:tabs>
          <w:tab w:val="clear" w:pos="360"/>
          <w:tab w:val="num" w:pos="2268"/>
        </w:tabs>
        <w:ind w:left="709" w:hanging="709"/>
        <w:jc w:val="both"/>
        <w:rPr>
          <w:b/>
          <w:color w:val="0000FF"/>
          <w:sz w:val="28"/>
          <w:szCs w:val="28"/>
        </w:rPr>
      </w:pPr>
      <w:r w:rsidRPr="00480518">
        <w:t xml:space="preserve">It is proposed that a performance target is set </w:t>
      </w:r>
      <w:r w:rsidR="00A84ED1">
        <w:t>at</w:t>
      </w:r>
      <w:r w:rsidRPr="00480518">
        <w:t xml:space="preserve"> 90% of the approved budget </w:t>
      </w:r>
      <w:r w:rsidR="00D15CFA">
        <w:t>to be spent in year</w:t>
      </w:r>
      <w:r w:rsidRPr="00480518">
        <w:t xml:space="preserve">.  Having approved an investment programme it is important that the programme is then substantially delivered in the planned timeframe, in line with </w:t>
      </w:r>
      <w:r w:rsidR="00290B2A">
        <w:t>M</w:t>
      </w:r>
      <w:r w:rsidRPr="00480518">
        <w:t>ember priorities.</w:t>
      </w:r>
    </w:p>
    <w:p w:rsidR="00480518" w:rsidRPr="00480518" w:rsidRDefault="00480518" w:rsidP="00480518">
      <w:pPr>
        <w:ind w:left="567" w:hanging="567"/>
        <w:rPr>
          <w:color w:val="FF0000"/>
        </w:rPr>
      </w:pPr>
    </w:p>
    <w:p w:rsidR="00480518" w:rsidRPr="00480518" w:rsidRDefault="00480518" w:rsidP="00662DEC">
      <w:pPr>
        <w:spacing w:after="120"/>
        <w:ind w:left="567"/>
        <w:outlineLvl w:val="1"/>
        <w:rPr>
          <w:rFonts w:cs="Arial"/>
          <w:b/>
          <w:bCs/>
          <w:sz w:val="28"/>
          <w:szCs w:val="32"/>
        </w:rPr>
      </w:pPr>
      <w:r w:rsidRPr="00480518">
        <w:rPr>
          <w:rFonts w:cs="Arial"/>
          <w:b/>
          <w:bCs/>
          <w:sz w:val="28"/>
          <w:szCs w:val="32"/>
        </w:rPr>
        <w:t>Risk Management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The individual schemes within the programme will either be incorporated within departmental registers or have individual registers. 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rsidR="00480518" w:rsidRDefault="00480518" w:rsidP="00480518">
      <w:pPr>
        <w:ind w:left="567" w:right="141" w:hanging="567"/>
        <w:rPr>
          <w:rFonts w:cs="Arial"/>
          <w:szCs w:val="24"/>
        </w:rPr>
      </w:pPr>
    </w:p>
    <w:p w:rsidR="00480518" w:rsidRPr="00480518" w:rsidRDefault="00480518" w:rsidP="00662DEC">
      <w:pPr>
        <w:keepNext/>
        <w:spacing w:after="120"/>
        <w:ind w:left="567"/>
        <w:outlineLvl w:val="1"/>
        <w:rPr>
          <w:rFonts w:cs="Arial"/>
          <w:b/>
          <w:bCs/>
          <w:color w:val="FF0000"/>
          <w:sz w:val="28"/>
          <w:szCs w:val="32"/>
        </w:rPr>
      </w:pPr>
      <w:r w:rsidRPr="00480518">
        <w:rPr>
          <w:rFonts w:cs="Arial"/>
          <w:b/>
          <w:bCs/>
          <w:sz w:val="28"/>
          <w:szCs w:val="32"/>
        </w:rPr>
        <w:t>Equalities implications / Public Sector Equality Duty</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A number of the projects proposed in the programme will require </w:t>
      </w:r>
      <w:r w:rsidR="00290B2A">
        <w:rPr>
          <w:rFonts w:cs="Arial"/>
          <w:szCs w:val="24"/>
        </w:rPr>
        <w:t xml:space="preserve">separate Cabinet reports and </w:t>
      </w:r>
      <w:r w:rsidRPr="00480518">
        <w:rPr>
          <w:rFonts w:cs="Arial"/>
          <w:szCs w:val="24"/>
        </w:rPr>
        <w:t xml:space="preserve">full Equality Impact Assessments before they commence. </w:t>
      </w:r>
    </w:p>
    <w:p w:rsidR="00480518" w:rsidRPr="00480518" w:rsidRDefault="00480518" w:rsidP="00480518">
      <w:pPr>
        <w:tabs>
          <w:tab w:val="left" w:pos="6150"/>
        </w:tabs>
        <w:ind w:left="567" w:hanging="567"/>
        <w:jc w:val="both"/>
      </w:pPr>
      <w:r w:rsidRPr="00480518">
        <w:tab/>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lastRenderedPageBreak/>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p>
    <w:p w:rsidR="00480518" w:rsidRPr="00480518" w:rsidRDefault="00480518" w:rsidP="00480518">
      <w:pPr>
        <w:ind w:left="567"/>
        <w:jc w:val="both"/>
        <w:rPr>
          <w:rFonts w:cs="Arial"/>
          <w:i/>
          <w:iCs/>
          <w:szCs w:val="24"/>
        </w:rPr>
      </w:pPr>
      <w:r w:rsidRPr="00480518">
        <w:rPr>
          <w:rFonts w:cs="Arial"/>
          <w:i/>
          <w:iCs/>
          <w:szCs w:val="24"/>
        </w:rPr>
        <w:t>A public authority must, in the exercise of its functions, have due regard to the need to:</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rsidR="001753D8" w:rsidRDefault="001753D8" w:rsidP="00480518">
      <w:pPr>
        <w:ind w:left="567" w:hanging="567"/>
      </w:pPr>
    </w:p>
    <w:p w:rsidR="00480518" w:rsidRPr="00480518" w:rsidRDefault="00480518" w:rsidP="00480518">
      <w:pPr>
        <w:ind w:left="567" w:hanging="567"/>
        <w:rPr>
          <w:b/>
          <w:sz w:val="28"/>
          <w:szCs w:val="28"/>
        </w:rPr>
      </w:pPr>
      <w:r w:rsidRPr="00480518">
        <w:rPr>
          <w:b/>
          <w:sz w:val="28"/>
          <w:szCs w:val="28"/>
        </w:rPr>
        <w:t xml:space="preserve">Council Priorities </w:t>
      </w:r>
    </w:p>
    <w:p w:rsidR="00480518" w:rsidRPr="00480518" w:rsidRDefault="00480518" w:rsidP="00480518">
      <w:pPr>
        <w:tabs>
          <w:tab w:val="left" w:pos="7470"/>
        </w:tabs>
        <w:ind w:left="567"/>
        <w:rPr>
          <w:rFonts w:cs="Arial"/>
          <w:szCs w:val="24"/>
        </w:rPr>
      </w:pPr>
      <w:r w:rsidRPr="00480518">
        <w:rPr>
          <w:rFonts w:cs="Arial"/>
          <w:szCs w:val="24"/>
        </w:rPr>
        <w:t>The Council’s vision is:</w:t>
      </w:r>
      <w:r w:rsidRPr="00480518">
        <w:rPr>
          <w:rFonts w:cs="Arial"/>
          <w:szCs w:val="24"/>
        </w:rPr>
        <w:tab/>
      </w:r>
    </w:p>
    <w:p w:rsidR="00480518" w:rsidRPr="00480518" w:rsidRDefault="00480518" w:rsidP="00480518">
      <w:pPr>
        <w:ind w:left="567" w:hanging="567"/>
        <w:rPr>
          <w:rFonts w:cs="Arial"/>
          <w:szCs w:val="24"/>
        </w:rPr>
      </w:pPr>
    </w:p>
    <w:p w:rsidR="00480518" w:rsidRPr="00480518" w:rsidRDefault="00480518" w:rsidP="00480518">
      <w:pPr>
        <w:ind w:left="567" w:hanging="567"/>
        <w:rPr>
          <w:rFonts w:cs="Arial"/>
          <w:szCs w:val="24"/>
        </w:rPr>
      </w:pPr>
      <w:r w:rsidRPr="00480518">
        <w:rPr>
          <w:rFonts w:cs="Arial"/>
          <w:b/>
          <w:szCs w:val="24"/>
        </w:rPr>
        <w:t>Working Together to Make a Difference for Harrow</w:t>
      </w:r>
      <w:r w:rsidRPr="00480518">
        <w:rPr>
          <w:rFonts w:cs="Arial"/>
          <w:szCs w:val="24"/>
        </w:rPr>
        <w:t xml:space="preserve"> </w:t>
      </w:r>
    </w:p>
    <w:p w:rsidR="00D372BF" w:rsidRDefault="00480518" w:rsidP="00D372BF">
      <w:pPr>
        <w:ind w:left="567"/>
        <w:jc w:val="both"/>
        <w:rPr>
          <w:rFonts w:cs="Arial"/>
          <w:szCs w:val="24"/>
          <w:lang w:val="en-US"/>
        </w:rPr>
      </w:pPr>
      <w:r w:rsidRPr="00480518">
        <w:t xml:space="preserve">This report deals with the use of financial resources which is key to delivering the </w:t>
      </w:r>
      <w:r w:rsidR="00D372BF" w:rsidRPr="00D372BF">
        <w:rPr>
          <w:rFonts w:cs="Arial"/>
          <w:szCs w:val="24"/>
          <w:lang w:val="en-US"/>
        </w:rPr>
        <w:t xml:space="preserve">priorities of the Harrow Ambition Plan: </w:t>
      </w:r>
    </w:p>
    <w:p w:rsidR="00D372BF" w:rsidRPr="00D372BF" w:rsidRDefault="00D372BF" w:rsidP="00D372BF">
      <w:pPr>
        <w:ind w:left="567"/>
        <w:jc w:val="both"/>
      </w:pPr>
    </w:p>
    <w:p w:rsidR="00D372BF" w:rsidRPr="00D372BF" w:rsidRDefault="00D372BF" w:rsidP="00D372BF">
      <w:pPr>
        <w:numPr>
          <w:ilvl w:val="0"/>
          <w:numId w:val="32"/>
        </w:numPr>
        <w:tabs>
          <w:tab w:val="num" w:pos="2268"/>
        </w:tabs>
        <w:jc w:val="both"/>
      </w:pPr>
      <w:r>
        <w:rPr>
          <w:rFonts w:cs="Arial"/>
          <w:szCs w:val="24"/>
          <w:lang w:val="en-US"/>
        </w:rPr>
        <w:t>Build a Better Harrow</w:t>
      </w:r>
      <w:r w:rsidRPr="00D372BF">
        <w:rPr>
          <w:rFonts w:cs="Arial"/>
          <w:szCs w:val="24"/>
          <w:lang w:val="en-US"/>
        </w:rPr>
        <w:t xml:space="preserve"> </w:t>
      </w:r>
    </w:p>
    <w:p w:rsidR="00D372BF" w:rsidRPr="00D372BF" w:rsidRDefault="00D372BF" w:rsidP="00D372BF">
      <w:pPr>
        <w:numPr>
          <w:ilvl w:val="0"/>
          <w:numId w:val="32"/>
        </w:numPr>
        <w:tabs>
          <w:tab w:val="num" w:pos="2268"/>
        </w:tabs>
        <w:jc w:val="both"/>
      </w:pPr>
      <w:r w:rsidRPr="00D372BF">
        <w:rPr>
          <w:rFonts w:cs="Arial"/>
          <w:szCs w:val="24"/>
          <w:lang w:val="en-US"/>
        </w:rPr>
        <w:t xml:space="preserve">Be More Business-Like and Business Friendly </w:t>
      </w:r>
    </w:p>
    <w:p w:rsidR="00D372BF" w:rsidRPr="00480518" w:rsidRDefault="00D372BF" w:rsidP="00D372BF">
      <w:pPr>
        <w:numPr>
          <w:ilvl w:val="0"/>
          <w:numId w:val="32"/>
        </w:numPr>
        <w:tabs>
          <w:tab w:val="num" w:pos="2268"/>
        </w:tabs>
        <w:jc w:val="both"/>
      </w:pPr>
      <w:r w:rsidRPr="00D372BF">
        <w:rPr>
          <w:rFonts w:cs="Arial"/>
          <w:szCs w:val="24"/>
          <w:lang w:val="en-US"/>
        </w:rPr>
        <w:t xml:space="preserve">Protecting the </w:t>
      </w:r>
      <w:r w:rsidR="00E23647">
        <w:rPr>
          <w:rFonts w:cs="Arial"/>
          <w:szCs w:val="24"/>
          <w:lang w:val="en-US"/>
        </w:rPr>
        <w:t xml:space="preserve">most </w:t>
      </w:r>
      <w:r w:rsidRPr="00D372BF">
        <w:rPr>
          <w:rFonts w:cs="Arial"/>
          <w:szCs w:val="24"/>
          <w:lang w:val="en-US"/>
        </w:rPr>
        <w:t>Vulnerable and Support Families.</w:t>
      </w:r>
    </w:p>
    <w:p w:rsidR="00B14937" w:rsidRDefault="00B14937" w:rsidP="005808FB">
      <w:pPr>
        <w:ind w:right="141"/>
        <w:rPr>
          <w:rFonts w:cs="Arial"/>
          <w:szCs w:val="24"/>
          <w:lang w:val="en-US" w:eastAsia="en-GB"/>
        </w:rPr>
      </w:pPr>
    </w:p>
    <w:p w:rsidR="00333FAA" w:rsidRPr="00B14937" w:rsidRDefault="00333FAA" w:rsidP="00333FAA">
      <w:pPr>
        <w:pStyle w:val="Heading1"/>
        <w:keepNext/>
        <w:rPr>
          <w:sz w:val="28"/>
          <w:szCs w:val="28"/>
        </w:rPr>
      </w:pPr>
      <w:r w:rsidRPr="00B14937">
        <w:rPr>
          <w:sz w:val="28"/>
          <w:szCs w:val="28"/>
        </w:rPr>
        <w:t>Section 3 - Statutory Officer Clearance</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370"/>
        <w:gridCol w:w="227"/>
        <w:gridCol w:w="3491"/>
      </w:tblGrid>
      <w:tr w:rsidR="00333FAA" w:rsidRPr="00D47AA9" w:rsidTr="00BA47A1">
        <w:trPr>
          <w:trHeight w:val="517"/>
        </w:trPr>
        <w:tc>
          <w:tcPr>
            <w:tcW w:w="4194" w:type="dxa"/>
            <w:tcBorders>
              <w:bottom w:val="nil"/>
              <w:right w:val="nil"/>
            </w:tcBorders>
          </w:tcPr>
          <w:p w:rsidR="00333FAA" w:rsidRPr="00D47AA9" w:rsidRDefault="00333FAA" w:rsidP="00A53B04">
            <w:pPr>
              <w:pStyle w:val="Infotext"/>
              <w:rPr>
                <w:sz w:val="24"/>
                <w:szCs w:val="24"/>
              </w:rPr>
            </w:pPr>
          </w:p>
        </w:tc>
        <w:tc>
          <w:tcPr>
            <w:tcW w:w="370" w:type="dxa"/>
            <w:tcBorders>
              <w:left w:val="nil"/>
              <w:right w:val="nil"/>
            </w:tcBorders>
          </w:tcPr>
          <w:p w:rsidR="00333FAA" w:rsidRPr="00D47AA9" w:rsidRDefault="00333FAA" w:rsidP="00A53B04">
            <w:pPr>
              <w:pStyle w:val="Infotext"/>
              <w:rPr>
                <w:sz w:val="24"/>
                <w:szCs w:val="24"/>
              </w:rPr>
            </w:pPr>
          </w:p>
        </w:tc>
        <w:tc>
          <w:tcPr>
            <w:tcW w:w="227" w:type="dxa"/>
            <w:tcBorders>
              <w:left w:val="nil"/>
              <w:bottom w:val="nil"/>
              <w:right w:val="nil"/>
            </w:tcBorders>
          </w:tcPr>
          <w:p w:rsidR="00333FAA" w:rsidRPr="00D47AA9" w:rsidRDefault="00333FAA" w:rsidP="00A53B04">
            <w:pPr>
              <w:pStyle w:val="Infotext"/>
              <w:rPr>
                <w:sz w:val="24"/>
                <w:szCs w:val="24"/>
              </w:rPr>
            </w:pPr>
          </w:p>
        </w:tc>
        <w:tc>
          <w:tcPr>
            <w:tcW w:w="3491"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r w:rsidR="00333FAA" w:rsidRPr="00D47AA9" w:rsidTr="00BA47A1">
        <w:trPr>
          <w:trHeight w:val="247"/>
        </w:trPr>
        <w:tc>
          <w:tcPr>
            <w:tcW w:w="4194" w:type="dxa"/>
            <w:tcBorders>
              <w:top w:val="nil"/>
              <w:bottom w:val="nil"/>
            </w:tcBorders>
          </w:tcPr>
          <w:p w:rsidR="00333FAA" w:rsidRPr="00D47AA9" w:rsidRDefault="00333FAA" w:rsidP="009620E2">
            <w:pPr>
              <w:pStyle w:val="Infotext"/>
              <w:rPr>
                <w:sz w:val="24"/>
                <w:szCs w:val="24"/>
              </w:rPr>
            </w:pPr>
            <w:r w:rsidRPr="00D47AA9">
              <w:rPr>
                <w:sz w:val="24"/>
                <w:szCs w:val="24"/>
              </w:rPr>
              <w:t>Name:</w:t>
            </w:r>
            <w:r w:rsidR="00DB6C3D" w:rsidRPr="00D47AA9">
              <w:rPr>
                <w:sz w:val="24"/>
                <w:szCs w:val="24"/>
              </w:rPr>
              <w:t xml:space="preserve"> </w:t>
            </w:r>
            <w:r w:rsidR="00566EB8" w:rsidRPr="00D47AA9">
              <w:rPr>
                <w:sz w:val="24"/>
                <w:szCs w:val="24"/>
              </w:rPr>
              <w:t>Dawn Calvert</w:t>
            </w:r>
          </w:p>
        </w:tc>
        <w:tc>
          <w:tcPr>
            <w:tcW w:w="370" w:type="dxa"/>
            <w:tcBorders>
              <w:bottom w:val="single" w:sz="4" w:space="0" w:color="auto"/>
            </w:tcBorders>
          </w:tcPr>
          <w:p w:rsidR="00333FAA" w:rsidRPr="00D47AA9" w:rsidRDefault="00566EB8" w:rsidP="00A53B04">
            <w:pPr>
              <w:pStyle w:val="Infotext"/>
              <w:rPr>
                <w:sz w:val="24"/>
                <w:szCs w:val="24"/>
              </w:rPr>
            </w:pPr>
            <w:r w:rsidRPr="00D47AA9">
              <w:rPr>
                <w:sz w:val="24"/>
                <w:szCs w:val="24"/>
              </w:rPr>
              <w:t>x</w:t>
            </w:r>
          </w:p>
        </w:tc>
        <w:tc>
          <w:tcPr>
            <w:tcW w:w="227" w:type="dxa"/>
            <w:tcBorders>
              <w:top w:val="nil"/>
              <w:bottom w:val="nil"/>
              <w:right w:val="nil"/>
            </w:tcBorders>
          </w:tcPr>
          <w:p w:rsidR="00333FAA" w:rsidRPr="00D47AA9" w:rsidRDefault="00333FAA" w:rsidP="00A53B04">
            <w:pPr>
              <w:pStyle w:val="Infotext"/>
              <w:rPr>
                <w:sz w:val="24"/>
                <w:szCs w:val="24"/>
              </w:rPr>
            </w:pPr>
          </w:p>
        </w:tc>
        <w:tc>
          <w:tcPr>
            <w:tcW w:w="3491" w:type="dxa"/>
            <w:tcBorders>
              <w:top w:val="nil"/>
              <w:left w:val="nil"/>
              <w:bottom w:val="nil"/>
            </w:tcBorders>
          </w:tcPr>
          <w:p w:rsidR="00333FAA" w:rsidRPr="00D47AA9" w:rsidRDefault="00333FAA" w:rsidP="00A53B04">
            <w:pPr>
              <w:pStyle w:val="Infotext"/>
              <w:rPr>
                <w:sz w:val="24"/>
                <w:szCs w:val="24"/>
              </w:rPr>
            </w:pPr>
            <w:r w:rsidRPr="00D47AA9">
              <w:rPr>
                <w:sz w:val="24"/>
                <w:szCs w:val="24"/>
              </w:rPr>
              <w:t>Chief Financial Officer</w:t>
            </w:r>
          </w:p>
        </w:tc>
      </w:tr>
      <w:tr w:rsidR="00333FAA" w:rsidRPr="00D47AA9" w:rsidTr="00BA47A1">
        <w:trPr>
          <w:trHeight w:val="517"/>
        </w:trPr>
        <w:tc>
          <w:tcPr>
            <w:tcW w:w="4194" w:type="dxa"/>
            <w:tcBorders>
              <w:top w:val="nil"/>
              <w:right w:val="nil"/>
            </w:tcBorders>
          </w:tcPr>
          <w:p w:rsidR="00333FAA" w:rsidRPr="00D47AA9" w:rsidRDefault="00333FAA" w:rsidP="00A53B04">
            <w:pPr>
              <w:pStyle w:val="Infotext"/>
              <w:rPr>
                <w:sz w:val="24"/>
                <w:szCs w:val="24"/>
              </w:rPr>
            </w:pPr>
            <w:r w:rsidRPr="00D47AA9">
              <w:rPr>
                <w:sz w:val="24"/>
                <w:szCs w:val="24"/>
              </w:rPr>
              <w:t xml:space="preserve"> </w:t>
            </w:r>
          </w:p>
          <w:p w:rsidR="00333FAA" w:rsidRPr="00D47AA9" w:rsidRDefault="00333FAA" w:rsidP="003F2780">
            <w:pPr>
              <w:pStyle w:val="Infotext"/>
              <w:rPr>
                <w:sz w:val="24"/>
                <w:szCs w:val="24"/>
              </w:rPr>
            </w:pPr>
            <w:r w:rsidRPr="00D47AA9">
              <w:rPr>
                <w:sz w:val="24"/>
                <w:szCs w:val="24"/>
              </w:rPr>
              <w:t xml:space="preserve">Date: </w:t>
            </w:r>
            <w:r w:rsidR="00862F0E">
              <w:rPr>
                <w:sz w:val="24"/>
                <w:szCs w:val="24"/>
              </w:rPr>
              <w:t>5</w:t>
            </w:r>
            <w:r w:rsidR="003F2780">
              <w:rPr>
                <w:sz w:val="24"/>
                <w:szCs w:val="24"/>
              </w:rPr>
              <w:t xml:space="preserve"> February </w:t>
            </w:r>
            <w:r w:rsidR="00862F0E">
              <w:rPr>
                <w:sz w:val="24"/>
                <w:szCs w:val="24"/>
              </w:rPr>
              <w:t>2018</w:t>
            </w:r>
          </w:p>
        </w:tc>
        <w:tc>
          <w:tcPr>
            <w:tcW w:w="370" w:type="dxa"/>
            <w:tcBorders>
              <w:left w:val="nil"/>
              <w:bottom w:val="single" w:sz="4" w:space="0" w:color="auto"/>
              <w:right w:val="nil"/>
            </w:tcBorders>
          </w:tcPr>
          <w:p w:rsidR="00333FAA" w:rsidRPr="00D47AA9" w:rsidRDefault="00333FAA" w:rsidP="00A53B04">
            <w:pPr>
              <w:pStyle w:val="Infotext"/>
              <w:rPr>
                <w:sz w:val="24"/>
                <w:szCs w:val="24"/>
              </w:rPr>
            </w:pPr>
          </w:p>
        </w:tc>
        <w:tc>
          <w:tcPr>
            <w:tcW w:w="227" w:type="dxa"/>
            <w:tcBorders>
              <w:top w:val="nil"/>
              <w:left w:val="nil"/>
              <w:right w:val="nil"/>
            </w:tcBorders>
          </w:tcPr>
          <w:p w:rsidR="00333FAA" w:rsidRPr="00D47AA9" w:rsidRDefault="00333FAA" w:rsidP="00A53B04">
            <w:pPr>
              <w:pStyle w:val="Infotext"/>
              <w:rPr>
                <w:sz w:val="24"/>
                <w:szCs w:val="24"/>
              </w:rPr>
            </w:pPr>
          </w:p>
        </w:tc>
        <w:tc>
          <w:tcPr>
            <w:tcW w:w="3491" w:type="dxa"/>
            <w:tcBorders>
              <w:top w:val="nil"/>
              <w:left w:val="nil"/>
            </w:tcBorders>
          </w:tcPr>
          <w:p w:rsidR="00333FAA" w:rsidRPr="00D47AA9" w:rsidRDefault="00333FAA" w:rsidP="00A53B04">
            <w:pPr>
              <w:pStyle w:val="Infotext"/>
              <w:rPr>
                <w:sz w:val="24"/>
                <w:szCs w:val="24"/>
              </w:rPr>
            </w:pPr>
          </w:p>
        </w:tc>
      </w:tr>
      <w:tr w:rsidR="00333FAA" w:rsidRPr="00D47AA9" w:rsidTr="00BA47A1">
        <w:trPr>
          <w:trHeight w:val="505"/>
        </w:trPr>
        <w:tc>
          <w:tcPr>
            <w:tcW w:w="4194" w:type="dxa"/>
            <w:tcBorders>
              <w:bottom w:val="nil"/>
              <w:right w:val="nil"/>
            </w:tcBorders>
          </w:tcPr>
          <w:p w:rsidR="00333FAA" w:rsidRPr="00D47AA9" w:rsidRDefault="00333FAA" w:rsidP="00A53B04">
            <w:pPr>
              <w:pStyle w:val="Infotext"/>
              <w:rPr>
                <w:sz w:val="24"/>
                <w:szCs w:val="24"/>
              </w:rPr>
            </w:pPr>
          </w:p>
        </w:tc>
        <w:tc>
          <w:tcPr>
            <w:tcW w:w="370" w:type="dxa"/>
            <w:tcBorders>
              <w:left w:val="nil"/>
              <w:right w:val="nil"/>
            </w:tcBorders>
          </w:tcPr>
          <w:p w:rsidR="00333FAA" w:rsidRPr="00D47AA9" w:rsidRDefault="00333FAA" w:rsidP="00A53B04">
            <w:pPr>
              <w:pStyle w:val="Infotext"/>
              <w:rPr>
                <w:sz w:val="24"/>
                <w:szCs w:val="24"/>
              </w:rPr>
            </w:pPr>
          </w:p>
        </w:tc>
        <w:tc>
          <w:tcPr>
            <w:tcW w:w="227" w:type="dxa"/>
            <w:tcBorders>
              <w:left w:val="nil"/>
              <w:bottom w:val="nil"/>
              <w:right w:val="nil"/>
            </w:tcBorders>
          </w:tcPr>
          <w:p w:rsidR="00333FAA" w:rsidRPr="00D47AA9" w:rsidRDefault="00333FAA" w:rsidP="00A53B04">
            <w:pPr>
              <w:pStyle w:val="Infotext"/>
              <w:rPr>
                <w:sz w:val="24"/>
                <w:szCs w:val="24"/>
              </w:rPr>
            </w:pPr>
          </w:p>
        </w:tc>
        <w:tc>
          <w:tcPr>
            <w:tcW w:w="3491" w:type="dxa"/>
            <w:tcBorders>
              <w:left w:val="nil"/>
              <w:bottom w:val="nil"/>
            </w:tcBorders>
          </w:tcPr>
          <w:p w:rsidR="00333FAA" w:rsidRPr="00D47AA9" w:rsidRDefault="00333FAA" w:rsidP="00A53B04">
            <w:pPr>
              <w:pStyle w:val="Infotext"/>
              <w:rPr>
                <w:sz w:val="24"/>
                <w:szCs w:val="24"/>
              </w:rPr>
            </w:pPr>
          </w:p>
          <w:p w:rsidR="00333FAA" w:rsidRPr="00D47AA9" w:rsidRDefault="00333FAA" w:rsidP="003F2780">
            <w:pPr>
              <w:pStyle w:val="Infotext"/>
              <w:rPr>
                <w:sz w:val="24"/>
                <w:szCs w:val="24"/>
              </w:rPr>
            </w:pPr>
            <w:r w:rsidRPr="00D47AA9">
              <w:rPr>
                <w:sz w:val="24"/>
                <w:szCs w:val="24"/>
              </w:rPr>
              <w:t>on behalf of the</w:t>
            </w:r>
          </w:p>
        </w:tc>
      </w:tr>
      <w:tr w:rsidR="00333FAA" w:rsidRPr="00D47AA9" w:rsidTr="00BA47A1">
        <w:trPr>
          <w:trHeight w:val="258"/>
        </w:trPr>
        <w:tc>
          <w:tcPr>
            <w:tcW w:w="4194" w:type="dxa"/>
            <w:tcBorders>
              <w:top w:val="nil"/>
              <w:bottom w:val="nil"/>
            </w:tcBorders>
          </w:tcPr>
          <w:p w:rsidR="00333FAA" w:rsidRPr="00D47AA9" w:rsidRDefault="00333FAA">
            <w:pPr>
              <w:pStyle w:val="Infotext"/>
              <w:rPr>
                <w:sz w:val="24"/>
                <w:szCs w:val="24"/>
              </w:rPr>
            </w:pPr>
            <w:r w:rsidRPr="00D47AA9">
              <w:rPr>
                <w:sz w:val="24"/>
                <w:szCs w:val="24"/>
              </w:rPr>
              <w:t xml:space="preserve">Name: </w:t>
            </w:r>
            <w:r w:rsidR="00290B2A">
              <w:rPr>
                <w:sz w:val="24"/>
                <w:szCs w:val="24"/>
              </w:rPr>
              <w:t>Jessica Farmer</w:t>
            </w:r>
          </w:p>
        </w:tc>
        <w:tc>
          <w:tcPr>
            <w:tcW w:w="370" w:type="dxa"/>
            <w:tcBorders>
              <w:bottom w:val="single" w:sz="4" w:space="0" w:color="auto"/>
            </w:tcBorders>
          </w:tcPr>
          <w:p w:rsidR="00333FAA" w:rsidRPr="00D47AA9" w:rsidRDefault="00290B2A" w:rsidP="00A53B04">
            <w:pPr>
              <w:pStyle w:val="Infotext"/>
              <w:rPr>
                <w:sz w:val="24"/>
                <w:szCs w:val="24"/>
              </w:rPr>
            </w:pPr>
            <w:r>
              <w:rPr>
                <w:sz w:val="24"/>
                <w:szCs w:val="24"/>
              </w:rPr>
              <w:t>x</w:t>
            </w:r>
          </w:p>
        </w:tc>
        <w:tc>
          <w:tcPr>
            <w:tcW w:w="227" w:type="dxa"/>
            <w:tcBorders>
              <w:top w:val="nil"/>
              <w:bottom w:val="nil"/>
              <w:right w:val="nil"/>
            </w:tcBorders>
          </w:tcPr>
          <w:p w:rsidR="00333FAA" w:rsidRPr="00D47AA9" w:rsidRDefault="00333FAA" w:rsidP="00A53B04">
            <w:pPr>
              <w:pStyle w:val="Infotext"/>
              <w:rPr>
                <w:sz w:val="24"/>
                <w:szCs w:val="24"/>
              </w:rPr>
            </w:pPr>
          </w:p>
        </w:tc>
        <w:tc>
          <w:tcPr>
            <w:tcW w:w="3491" w:type="dxa"/>
            <w:tcBorders>
              <w:top w:val="nil"/>
              <w:left w:val="nil"/>
              <w:bottom w:val="nil"/>
            </w:tcBorders>
          </w:tcPr>
          <w:p w:rsidR="00333FAA" w:rsidRPr="00D47AA9" w:rsidRDefault="00333FAA" w:rsidP="00A53B04">
            <w:pPr>
              <w:pStyle w:val="Infotext"/>
              <w:rPr>
                <w:sz w:val="24"/>
                <w:szCs w:val="24"/>
              </w:rPr>
            </w:pPr>
            <w:r w:rsidRPr="00D47AA9">
              <w:rPr>
                <w:sz w:val="24"/>
                <w:szCs w:val="24"/>
              </w:rPr>
              <w:t>Monitoring Officer</w:t>
            </w:r>
          </w:p>
        </w:tc>
      </w:tr>
      <w:tr w:rsidR="00333FAA" w:rsidRPr="00D47AA9" w:rsidTr="00BA47A1">
        <w:trPr>
          <w:trHeight w:val="517"/>
        </w:trPr>
        <w:tc>
          <w:tcPr>
            <w:tcW w:w="4194" w:type="dxa"/>
            <w:tcBorders>
              <w:top w:val="nil"/>
              <w:right w:val="nil"/>
            </w:tcBorders>
          </w:tcPr>
          <w:p w:rsidR="00333FAA" w:rsidRPr="00D47AA9" w:rsidRDefault="00333FAA" w:rsidP="00A53B04">
            <w:pPr>
              <w:pStyle w:val="Infotext"/>
              <w:rPr>
                <w:sz w:val="24"/>
                <w:szCs w:val="24"/>
              </w:rPr>
            </w:pPr>
          </w:p>
          <w:p w:rsidR="00333FAA" w:rsidRPr="00D47AA9" w:rsidRDefault="00333FAA" w:rsidP="003F2780">
            <w:pPr>
              <w:pStyle w:val="Infotext"/>
              <w:rPr>
                <w:sz w:val="24"/>
                <w:szCs w:val="24"/>
              </w:rPr>
            </w:pPr>
            <w:r w:rsidRPr="00D47AA9">
              <w:rPr>
                <w:sz w:val="24"/>
                <w:szCs w:val="24"/>
              </w:rPr>
              <w:t xml:space="preserve">Date: </w:t>
            </w:r>
            <w:r w:rsidR="00753FE4">
              <w:rPr>
                <w:sz w:val="24"/>
                <w:szCs w:val="24"/>
              </w:rPr>
              <w:t>6</w:t>
            </w:r>
            <w:r w:rsidR="003F2780">
              <w:rPr>
                <w:sz w:val="24"/>
                <w:szCs w:val="24"/>
              </w:rPr>
              <w:t xml:space="preserve"> February </w:t>
            </w:r>
            <w:r w:rsidR="00862F0E">
              <w:rPr>
                <w:sz w:val="24"/>
                <w:szCs w:val="24"/>
              </w:rPr>
              <w:t>2018</w:t>
            </w:r>
          </w:p>
        </w:tc>
        <w:tc>
          <w:tcPr>
            <w:tcW w:w="370" w:type="dxa"/>
            <w:tcBorders>
              <w:left w:val="nil"/>
              <w:right w:val="nil"/>
            </w:tcBorders>
          </w:tcPr>
          <w:p w:rsidR="00333FAA" w:rsidRPr="00D47AA9" w:rsidRDefault="00333FAA" w:rsidP="00A53B04">
            <w:pPr>
              <w:pStyle w:val="Infotext"/>
              <w:rPr>
                <w:sz w:val="24"/>
                <w:szCs w:val="24"/>
              </w:rPr>
            </w:pPr>
          </w:p>
        </w:tc>
        <w:tc>
          <w:tcPr>
            <w:tcW w:w="227" w:type="dxa"/>
            <w:tcBorders>
              <w:top w:val="nil"/>
              <w:left w:val="nil"/>
              <w:right w:val="nil"/>
            </w:tcBorders>
          </w:tcPr>
          <w:p w:rsidR="00333FAA" w:rsidRPr="00D47AA9" w:rsidRDefault="00333FAA" w:rsidP="00A53B04">
            <w:pPr>
              <w:pStyle w:val="Infotext"/>
              <w:rPr>
                <w:sz w:val="24"/>
                <w:szCs w:val="24"/>
              </w:rPr>
            </w:pPr>
          </w:p>
        </w:tc>
        <w:tc>
          <w:tcPr>
            <w:tcW w:w="3491" w:type="dxa"/>
            <w:tcBorders>
              <w:top w:val="nil"/>
              <w:left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bl>
    <w:p w:rsidR="00333FAA" w:rsidRDefault="00333FAA" w:rsidP="00333FAA"/>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6"/>
        <w:gridCol w:w="3281"/>
      </w:tblGrid>
      <w:tr w:rsidR="00333FAA" w:rsidTr="00BA47A1">
        <w:trPr>
          <w:trHeight w:val="787"/>
        </w:trPr>
        <w:tc>
          <w:tcPr>
            <w:tcW w:w="3025" w:type="pct"/>
            <w:tcBorders>
              <w:right w:val="nil"/>
            </w:tcBorders>
          </w:tcPr>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Ward Councillors notified:</w:t>
            </w:r>
          </w:p>
          <w:p w:rsidR="00333FAA" w:rsidRPr="00D47AA9" w:rsidRDefault="00333FAA" w:rsidP="00A53B04">
            <w:pPr>
              <w:pStyle w:val="Infotext"/>
              <w:rPr>
                <w:color w:val="FF0000"/>
                <w:sz w:val="24"/>
                <w:szCs w:val="24"/>
              </w:rPr>
            </w:pPr>
          </w:p>
        </w:tc>
        <w:tc>
          <w:tcPr>
            <w:tcW w:w="1975" w:type="pct"/>
            <w:tcBorders>
              <w:left w:val="nil"/>
            </w:tcBorders>
          </w:tcPr>
          <w:p w:rsidR="00333FAA" w:rsidRPr="00D47AA9" w:rsidRDefault="00333FAA" w:rsidP="00A53B04">
            <w:pPr>
              <w:pStyle w:val="Infotext"/>
              <w:rPr>
                <w:sz w:val="24"/>
                <w:szCs w:val="24"/>
              </w:rPr>
            </w:pPr>
          </w:p>
          <w:p w:rsidR="00333FAA" w:rsidRPr="00D47AA9" w:rsidRDefault="00333FAA" w:rsidP="00D47AA9">
            <w:pPr>
              <w:pStyle w:val="Infotext"/>
              <w:spacing w:before="120"/>
              <w:rPr>
                <w:i/>
                <w:sz w:val="24"/>
                <w:szCs w:val="24"/>
              </w:rPr>
            </w:pPr>
            <w:r w:rsidRPr="00D47AA9">
              <w:rPr>
                <w:b/>
                <w:sz w:val="24"/>
                <w:szCs w:val="24"/>
              </w:rPr>
              <w:t xml:space="preserve">NO, as it impacts on all Wards </w:t>
            </w:r>
          </w:p>
        </w:tc>
      </w:tr>
      <w:tr w:rsidR="00333FAA" w:rsidRPr="00303FD6" w:rsidTr="00BA47A1">
        <w:trPr>
          <w:trHeight w:val="787"/>
        </w:trPr>
        <w:tc>
          <w:tcPr>
            <w:tcW w:w="3025" w:type="pct"/>
            <w:tcBorders>
              <w:right w:val="nil"/>
            </w:tcBorders>
          </w:tcPr>
          <w:p w:rsidR="00333FAA" w:rsidRPr="00D47AA9" w:rsidRDefault="00333FAA" w:rsidP="00A53B04">
            <w:pPr>
              <w:pStyle w:val="Infotext"/>
              <w:rPr>
                <w:rFonts w:ascii="Arial Black" w:hAnsi="Arial Black"/>
                <w:color w:val="FF0000"/>
                <w:sz w:val="24"/>
                <w:szCs w:val="24"/>
              </w:rPr>
            </w:pPr>
          </w:p>
          <w:p w:rsidR="00333FAA" w:rsidRPr="00D47AA9" w:rsidRDefault="00333FAA" w:rsidP="00A53B04">
            <w:pPr>
              <w:pStyle w:val="Infotext"/>
              <w:rPr>
                <w:rFonts w:ascii="Arial Black" w:hAnsi="Arial Black"/>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carried out:</w:t>
            </w:r>
          </w:p>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color w:val="FF0000"/>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cleared by:</w:t>
            </w:r>
          </w:p>
        </w:tc>
        <w:tc>
          <w:tcPr>
            <w:tcW w:w="1975" w:type="pct"/>
            <w:tcBorders>
              <w:left w:val="nil"/>
            </w:tcBorders>
          </w:tcPr>
          <w:p w:rsidR="00333FAA" w:rsidRPr="00D47AA9" w:rsidRDefault="00333FAA" w:rsidP="00A53B04">
            <w:pPr>
              <w:pStyle w:val="Infotext"/>
              <w:rPr>
                <w:b/>
                <w:color w:val="FF0000"/>
                <w:sz w:val="24"/>
                <w:szCs w:val="24"/>
              </w:rPr>
            </w:pPr>
          </w:p>
          <w:p w:rsidR="00333FAA" w:rsidRPr="00D47AA9" w:rsidRDefault="00202D79" w:rsidP="00A53B04">
            <w:pPr>
              <w:pStyle w:val="Infotext"/>
              <w:rPr>
                <w:b/>
                <w:sz w:val="24"/>
                <w:szCs w:val="24"/>
              </w:rPr>
            </w:pPr>
            <w:r w:rsidRPr="00D47AA9">
              <w:rPr>
                <w:b/>
                <w:sz w:val="24"/>
                <w:szCs w:val="24"/>
              </w:rPr>
              <w:t xml:space="preserve"> </w:t>
            </w:r>
            <w:r w:rsidR="00480518" w:rsidRPr="00D47AA9">
              <w:rPr>
                <w:b/>
                <w:sz w:val="24"/>
                <w:szCs w:val="24"/>
              </w:rPr>
              <w:t>NO</w:t>
            </w:r>
          </w:p>
          <w:p w:rsidR="00480518" w:rsidRPr="00D47AA9" w:rsidRDefault="00480518" w:rsidP="00A53B04">
            <w:pPr>
              <w:pStyle w:val="Infotext"/>
              <w:rPr>
                <w:sz w:val="24"/>
                <w:szCs w:val="24"/>
              </w:rPr>
            </w:pPr>
          </w:p>
          <w:p w:rsidR="00480518" w:rsidRPr="00D47AA9" w:rsidRDefault="00480518" w:rsidP="00A53B04">
            <w:pPr>
              <w:pStyle w:val="Infotext"/>
              <w:rPr>
                <w:sz w:val="24"/>
                <w:szCs w:val="24"/>
              </w:rPr>
            </w:pPr>
          </w:p>
          <w:p w:rsidR="00333FAA" w:rsidRPr="00D47AA9" w:rsidRDefault="00480518" w:rsidP="00480518">
            <w:pPr>
              <w:pStyle w:val="Infotext"/>
              <w:rPr>
                <w:color w:val="FF0000"/>
                <w:sz w:val="24"/>
                <w:szCs w:val="24"/>
              </w:rPr>
            </w:pPr>
            <w:r w:rsidRPr="00D47AA9">
              <w:rPr>
                <w:sz w:val="24"/>
                <w:szCs w:val="24"/>
              </w:rPr>
              <w:t>Any projects with potential impacts will separately be required to do an impact assessment.</w:t>
            </w:r>
          </w:p>
        </w:tc>
      </w:tr>
    </w:tbl>
    <w:p w:rsidR="00333FAA" w:rsidRDefault="00333FAA" w:rsidP="00333FAA"/>
    <w:p w:rsidR="00BA47A1" w:rsidRDefault="00BA47A1" w:rsidP="00333FAA"/>
    <w:p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rsidR="00333FAA" w:rsidRDefault="00333FAA" w:rsidP="00333FAA">
      <w:pPr>
        <w:keepNext/>
        <w:rPr>
          <w:rFonts w:cs="Arial"/>
        </w:rPr>
      </w:pPr>
    </w:p>
    <w:p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rsidR="00480518" w:rsidRPr="00D47AA9" w:rsidRDefault="00480518" w:rsidP="00333FAA">
      <w:pPr>
        <w:pStyle w:val="Infotext"/>
        <w:rPr>
          <w:sz w:val="24"/>
          <w:szCs w:val="24"/>
        </w:rPr>
      </w:pPr>
      <w:r w:rsidRPr="00D47AA9">
        <w:rPr>
          <w:sz w:val="24"/>
          <w:szCs w:val="24"/>
        </w:rPr>
        <w:t xml:space="preserve">Email: </w:t>
      </w:r>
      <w:hyperlink r:id="rId14" w:history="1">
        <w:r w:rsidR="00E23647" w:rsidRPr="00D47AA9">
          <w:rPr>
            <w:rStyle w:val="Hyperlink"/>
            <w:sz w:val="24"/>
            <w:szCs w:val="24"/>
          </w:rPr>
          <w:t>sharon.daniels@harrow.gov.uk</w:t>
        </w:r>
      </w:hyperlink>
    </w:p>
    <w:p w:rsidR="00333FAA" w:rsidRDefault="00333FAA" w:rsidP="00333FAA"/>
    <w:p w:rsidR="00333FAA" w:rsidRDefault="00333FAA" w:rsidP="00333FAA">
      <w:pPr>
        <w:pStyle w:val="Infotext"/>
      </w:pPr>
      <w:r w:rsidRPr="004E47FC">
        <w:rPr>
          <w:b/>
        </w:rPr>
        <w:t xml:space="preserve">Background Papers: </w:t>
      </w:r>
      <w:r w:rsidR="005808FB">
        <w:rPr>
          <w:b/>
        </w:rPr>
        <w:t xml:space="preserve"> </w:t>
      </w:r>
    </w:p>
    <w:p w:rsidR="00CF0DF4" w:rsidRDefault="0010784E" w:rsidP="00CF0DF4">
      <w:pPr>
        <w:rPr>
          <w:b/>
        </w:rPr>
      </w:pPr>
      <w:hyperlink r:id="rId15" w:history="1">
        <w:r w:rsidR="0000008B" w:rsidRPr="0000008B">
          <w:rPr>
            <w:rStyle w:val="Hyperlink"/>
            <w:b/>
          </w:rPr>
          <w:t xml:space="preserve">Draft Capital Programme 2018/19 to 2020/21 - Cabinet </w:t>
        </w:r>
        <w:r w:rsidR="009E1E3D">
          <w:rPr>
            <w:rStyle w:val="Hyperlink"/>
            <w:b/>
          </w:rPr>
          <w:t>7</w:t>
        </w:r>
        <w:r w:rsidR="009E1E3D" w:rsidRPr="009E1E3D">
          <w:rPr>
            <w:rStyle w:val="Hyperlink"/>
            <w:b/>
            <w:vertAlign w:val="superscript"/>
          </w:rPr>
          <w:t>th</w:t>
        </w:r>
        <w:r w:rsidR="009E1E3D">
          <w:rPr>
            <w:rStyle w:val="Hyperlink"/>
            <w:b/>
          </w:rPr>
          <w:t xml:space="preserve"> </w:t>
        </w:r>
        <w:r w:rsidR="0000008B" w:rsidRPr="0000008B">
          <w:rPr>
            <w:rStyle w:val="Hyperlink"/>
            <w:b/>
          </w:rPr>
          <w:t>December 2017</w:t>
        </w:r>
      </w:hyperlink>
      <w:r w:rsidR="00CF0DF4">
        <w:rPr>
          <w:b/>
        </w:rPr>
        <w:t xml:space="preserve"> </w:t>
      </w:r>
    </w:p>
    <w:p w:rsidR="00CF0DF4" w:rsidRDefault="0010784E" w:rsidP="00CF0DF4">
      <w:pPr>
        <w:rPr>
          <w:rFonts w:cs="Arial"/>
        </w:rPr>
      </w:pPr>
      <w:hyperlink r:id="rId16" w:history="1">
        <w:r w:rsidR="00CF0DF4">
          <w:rPr>
            <w:rStyle w:val="Hyperlink"/>
            <w:rFonts w:cs="Arial"/>
          </w:rPr>
          <w:t>http://www.harrow.gov.uk/www2/ieListDocuments.aspx?CId=249&amp;MId=64137&amp;Ver=4</w:t>
        </w:r>
      </w:hyperlink>
    </w:p>
    <w:p w:rsidR="00CF0DF4" w:rsidRDefault="00CF0DF4" w:rsidP="00CF0DF4">
      <w:pPr>
        <w:rPr>
          <w:rFonts w:cs="Arial"/>
        </w:rPr>
      </w:pPr>
      <w:r>
        <w:rPr>
          <w:rFonts w:cs="Arial"/>
        </w:rPr>
        <w:t xml:space="preserve"> </w:t>
      </w:r>
    </w:p>
    <w:p w:rsidR="005C5E38" w:rsidRDefault="0010784E" w:rsidP="00333FAA">
      <w:pPr>
        <w:pStyle w:val="Infotext"/>
        <w:rPr>
          <w:b/>
        </w:rPr>
      </w:pPr>
      <w:hyperlink r:id="rId17" w:history="1">
        <w:r w:rsidR="005C5E38" w:rsidRPr="005C5E38">
          <w:rPr>
            <w:rStyle w:val="Hyperlink"/>
            <w:b/>
          </w:rPr>
          <w:t xml:space="preserve">CIL Infrastructure Levy - report to Major Developments Panel </w:t>
        </w:r>
        <w:r w:rsidR="009E1E3D">
          <w:rPr>
            <w:rStyle w:val="Hyperlink"/>
            <w:b/>
          </w:rPr>
          <w:t xml:space="preserve">14th </w:t>
        </w:r>
        <w:r w:rsidR="005C5E38" w:rsidRPr="005C5E38">
          <w:rPr>
            <w:rStyle w:val="Hyperlink"/>
            <w:b/>
          </w:rPr>
          <w:t>Nov 2017</w:t>
        </w:r>
      </w:hyperlink>
      <w:r w:rsidR="005C5E38">
        <w:rPr>
          <w:b/>
        </w:rPr>
        <w:t xml:space="preserve"> </w:t>
      </w:r>
    </w:p>
    <w:p w:rsidR="005C5E38" w:rsidRDefault="005C5E38" w:rsidP="00333FAA">
      <w:pPr>
        <w:pStyle w:val="Infotext"/>
        <w:rPr>
          <w:b/>
        </w:rPr>
      </w:pPr>
    </w:p>
    <w:p w:rsidR="00CF0DF4" w:rsidRDefault="0010784E" w:rsidP="00CF0DF4">
      <w:pPr>
        <w:rPr>
          <w:rFonts w:cs="Arial"/>
        </w:rPr>
      </w:pPr>
      <w:hyperlink r:id="rId18" w:history="1">
        <w:r w:rsidR="00CF0DF4">
          <w:rPr>
            <w:rStyle w:val="Hyperlink"/>
            <w:rFonts w:cs="Arial"/>
          </w:rPr>
          <w:t>http://www.harrow.gov.uk/www2/ieListDocuments.aspx?CId=1041&amp;MId=64184&amp;Ver=4</w:t>
        </w:r>
      </w:hyperlink>
    </w:p>
    <w:p w:rsidR="00CF0DF4" w:rsidRDefault="0010784E" w:rsidP="00CF0DF4">
      <w:pPr>
        <w:rPr>
          <w:rFonts w:cs="Arial"/>
        </w:rPr>
      </w:pPr>
      <w:hyperlink r:id="rId19" w:history="1">
        <w:r w:rsidR="00CF0DF4">
          <w:rPr>
            <w:rStyle w:val="Hyperlink"/>
            <w:rFonts w:cs="Arial"/>
          </w:rPr>
          <w:t>pdf</w:t>
        </w:r>
      </w:hyperlink>
    </w:p>
    <w:p w:rsidR="00BA47A1" w:rsidRDefault="00BA47A1" w:rsidP="00333FAA">
      <w:pPr>
        <w:pStyle w:val="Infotext"/>
        <w:rPr>
          <w:b/>
        </w:rPr>
      </w:pPr>
    </w:p>
    <w:p w:rsidR="00BA47A1" w:rsidRPr="00480518" w:rsidRDefault="00BA47A1"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C64714" w:rsidRDefault="00333FAA" w:rsidP="00A53B04">
            <w:pPr>
              <w:pStyle w:val="Infotext"/>
              <w:rPr>
                <w:rFonts w:ascii="Arial Black" w:hAnsi="Arial Black"/>
                <w:sz w:val="24"/>
                <w:szCs w:val="24"/>
              </w:rPr>
            </w:pPr>
            <w:r w:rsidRPr="00C64714">
              <w:rPr>
                <w:rFonts w:ascii="Arial Black" w:hAnsi="Arial Black"/>
                <w:sz w:val="24"/>
                <w:szCs w:val="24"/>
              </w:rPr>
              <w:t>Call-In Waived by the Chairman of Overview and Scrutiny Committee</w:t>
            </w:r>
          </w:p>
          <w:p w:rsidR="00333FAA" w:rsidRDefault="00333FAA" w:rsidP="003F2780">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NOT APPLICABLE</w:t>
            </w:r>
          </w:p>
          <w:p w:rsidR="00333FAA" w:rsidRDefault="00333FAA" w:rsidP="00A53B04">
            <w:pPr>
              <w:pStyle w:val="Infotext"/>
            </w:pPr>
          </w:p>
          <w:p w:rsidR="00333FAA" w:rsidRDefault="003F2780" w:rsidP="00A53B04">
            <w:pPr>
              <w:pStyle w:val="Infotext"/>
              <w:rPr>
                <w:i/>
              </w:rPr>
            </w:pPr>
            <w:r>
              <w:rPr>
                <w:i/>
              </w:rPr>
              <w:t>[Call-in applies]</w:t>
            </w:r>
          </w:p>
          <w:p w:rsidR="003F2780" w:rsidRPr="003F2780" w:rsidRDefault="003F2780" w:rsidP="00A53B04">
            <w:pPr>
              <w:pStyle w:val="Infotext"/>
              <w:rPr>
                <w:i/>
              </w:rPr>
            </w:pPr>
          </w:p>
          <w:p w:rsidR="00333FAA" w:rsidRDefault="00333FAA" w:rsidP="00A53B04">
            <w:pPr>
              <w:pStyle w:val="Infotext"/>
            </w:pPr>
          </w:p>
          <w:p w:rsidR="00333FAA" w:rsidRPr="003D78F6" w:rsidRDefault="00333FAA" w:rsidP="00A53B04">
            <w:pPr>
              <w:pStyle w:val="Infotext"/>
              <w:ind w:left="173"/>
              <w:rPr>
                <w:i/>
                <w:sz w:val="24"/>
                <w:szCs w:val="24"/>
              </w:rPr>
            </w:pPr>
          </w:p>
        </w:tc>
      </w:tr>
    </w:tbl>
    <w:p w:rsidR="00333FAA" w:rsidRDefault="00333FAA" w:rsidP="00FA1D36">
      <w:pPr>
        <w:pStyle w:val="Infotext"/>
      </w:pPr>
    </w:p>
    <w:sectPr w:rsidR="00333FAA" w:rsidSect="001E3C06">
      <w:headerReference w:type="default" r:id="rId20"/>
      <w:headerReference w:type="first" r:id="rId21"/>
      <w:footerReference w:type="first" r:id="rId22"/>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F4" w:rsidRDefault="00CF0DF4">
      <w:r>
        <w:separator/>
      </w:r>
    </w:p>
  </w:endnote>
  <w:endnote w:type="continuationSeparator" w:id="0">
    <w:p w:rsidR="00CF0DF4" w:rsidRDefault="00C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35A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F4" w:rsidRPr="008C69F5" w:rsidRDefault="00CF0DF4"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Pr>
        <w:rFonts w:cs="Arial"/>
        <w:noProof/>
        <w:sz w:val="16"/>
        <w:szCs w:val="16"/>
      </w:rPr>
      <w:t>G:\1 Public\Capital programme\2018-19 to 2019-21\February Cabinet Report\Final\Final Capital Programme Feb 2018 Cabinet.docx</w:t>
    </w:r>
    <w:r w:rsidRPr="00A2283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F4" w:rsidRDefault="00CF0DF4">
      <w:r>
        <w:separator/>
      </w:r>
    </w:p>
  </w:footnote>
  <w:footnote w:type="continuationSeparator" w:id="0">
    <w:p w:rsidR="00CF0DF4" w:rsidRDefault="00CF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F4" w:rsidRDefault="00CF0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F4" w:rsidRDefault="00CF0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602DB"/>
    <w:multiLevelType w:val="hybridMultilevel"/>
    <w:tmpl w:val="953C827E"/>
    <w:lvl w:ilvl="0" w:tplc="4BDA7A12">
      <w:numFmt w:val="bullet"/>
      <w:lvlText w:val="-"/>
      <w:lvlJc w:val="left"/>
      <w:pPr>
        <w:ind w:left="720" w:hanging="360"/>
      </w:pPr>
      <w:rPr>
        <w:rFonts w:ascii="Arial" w:eastAsia="Calibri" w:hAnsi="Arial" w:cs="Aria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B4538"/>
    <w:multiLevelType w:val="hybridMultilevel"/>
    <w:tmpl w:val="BC7C87CA"/>
    <w:lvl w:ilvl="0" w:tplc="4BDA7A12">
      <w:numFmt w:val="bullet"/>
      <w:lvlText w:val="-"/>
      <w:lvlJc w:val="left"/>
      <w:pPr>
        <w:ind w:left="1854" w:hanging="360"/>
      </w:pPr>
      <w:rPr>
        <w:rFonts w:ascii="Arial" w:eastAsia="Calibri" w:hAnsi="Arial" w:cs="Arial" w:hint="default"/>
        <w:b/>
        <w:sz w:val="2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73167EC"/>
    <w:multiLevelType w:val="hybridMultilevel"/>
    <w:tmpl w:val="B8F8ADDA"/>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99D6112"/>
    <w:multiLevelType w:val="hybridMultilevel"/>
    <w:tmpl w:val="646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AF21F9"/>
    <w:multiLevelType w:val="hybridMultilevel"/>
    <w:tmpl w:val="2C263980"/>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3">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F6A49"/>
    <w:multiLevelType w:val="hybridMultilevel"/>
    <w:tmpl w:val="CDB88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8">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D4E80"/>
    <w:multiLevelType w:val="hybridMultilevel"/>
    <w:tmpl w:val="87F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6A72668F"/>
    <w:multiLevelType w:val="hybridMultilevel"/>
    <w:tmpl w:val="80C8D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11263F"/>
    <w:multiLevelType w:val="hybridMultilevel"/>
    <w:tmpl w:val="EFDED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5B02D1"/>
    <w:multiLevelType w:val="hybridMultilevel"/>
    <w:tmpl w:val="E1B69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16"/>
  </w:num>
  <w:num w:numId="4">
    <w:abstractNumId w:val="44"/>
  </w:num>
  <w:num w:numId="5">
    <w:abstractNumId w:val="35"/>
  </w:num>
  <w:num w:numId="6">
    <w:abstractNumId w:val="20"/>
  </w:num>
  <w:num w:numId="7">
    <w:abstractNumId w:val="2"/>
  </w:num>
  <w:num w:numId="8">
    <w:abstractNumId w:val="28"/>
  </w:num>
  <w:num w:numId="9">
    <w:abstractNumId w:val="29"/>
  </w:num>
  <w:num w:numId="10">
    <w:abstractNumId w:val="41"/>
  </w:num>
  <w:num w:numId="11">
    <w:abstractNumId w:val="14"/>
  </w:num>
  <w:num w:numId="12">
    <w:abstractNumId w:val="26"/>
  </w:num>
  <w:num w:numId="13">
    <w:abstractNumId w:val="27"/>
  </w:num>
  <w:num w:numId="14">
    <w:abstractNumId w:val="15"/>
  </w:num>
  <w:num w:numId="15">
    <w:abstractNumId w:val="32"/>
  </w:num>
  <w:num w:numId="16">
    <w:abstractNumId w:val="18"/>
  </w:num>
  <w:num w:numId="17">
    <w:abstractNumId w:val="34"/>
  </w:num>
  <w:num w:numId="18">
    <w:abstractNumId w:val="23"/>
  </w:num>
  <w:num w:numId="19">
    <w:abstractNumId w:val="39"/>
  </w:num>
  <w:num w:numId="20">
    <w:abstractNumId w:val="6"/>
  </w:num>
  <w:num w:numId="21">
    <w:abstractNumId w:val="1"/>
  </w:num>
  <w:num w:numId="22">
    <w:abstractNumId w:val="7"/>
  </w:num>
  <w:num w:numId="23">
    <w:abstractNumId w:val="31"/>
  </w:num>
  <w:num w:numId="24">
    <w:abstractNumId w:val="10"/>
  </w:num>
  <w:num w:numId="25">
    <w:abstractNumId w:val="21"/>
  </w:num>
  <w:num w:numId="26">
    <w:abstractNumId w:val="0"/>
  </w:num>
  <w:num w:numId="27">
    <w:abstractNumId w:val="8"/>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43"/>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
  </w:num>
  <w:num w:numId="38">
    <w:abstractNumId w:val="19"/>
  </w:num>
  <w:num w:numId="39">
    <w:abstractNumId w:val="17"/>
  </w:num>
  <w:num w:numId="40">
    <w:abstractNumId w:val="25"/>
  </w:num>
  <w:num w:numId="41">
    <w:abstractNumId w:val="12"/>
  </w:num>
  <w:num w:numId="42">
    <w:abstractNumId w:val="5"/>
  </w:num>
  <w:num w:numId="43">
    <w:abstractNumId w:val="42"/>
  </w:num>
  <w:num w:numId="44">
    <w:abstractNumId w:val="9"/>
  </w:num>
  <w:num w:numId="45">
    <w:abstractNumId w:val="30"/>
  </w:num>
  <w:num w:numId="46">
    <w:abstractNumId w:val="4"/>
  </w:num>
  <w:num w:numId="47">
    <w:abstractNumId w:val="4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5 17:26"/>
  </w:docVars>
  <w:rsids>
    <w:rsidRoot w:val="00333FAA"/>
    <w:rsid w:val="0000008B"/>
    <w:rsid w:val="0000089B"/>
    <w:rsid w:val="00002347"/>
    <w:rsid w:val="0001104E"/>
    <w:rsid w:val="00012D4E"/>
    <w:rsid w:val="00014E24"/>
    <w:rsid w:val="0004029A"/>
    <w:rsid w:val="00040D5B"/>
    <w:rsid w:val="000429FF"/>
    <w:rsid w:val="00056F6C"/>
    <w:rsid w:val="0006034E"/>
    <w:rsid w:val="000625D7"/>
    <w:rsid w:val="00063783"/>
    <w:rsid w:val="00064917"/>
    <w:rsid w:val="00072057"/>
    <w:rsid w:val="00072413"/>
    <w:rsid w:val="00073765"/>
    <w:rsid w:val="00085BAE"/>
    <w:rsid w:val="0008612D"/>
    <w:rsid w:val="000864E7"/>
    <w:rsid w:val="00090FE1"/>
    <w:rsid w:val="000B3963"/>
    <w:rsid w:val="000B788F"/>
    <w:rsid w:val="000C14C9"/>
    <w:rsid w:val="000C1C72"/>
    <w:rsid w:val="000D1EBB"/>
    <w:rsid w:val="000D4DCF"/>
    <w:rsid w:val="000F0E6F"/>
    <w:rsid w:val="000F13C7"/>
    <w:rsid w:val="00105B2C"/>
    <w:rsid w:val="0010784E"/>
    <w:rsid w:val="001161E4"/>
    <w:rsid w:val="00125A26"/>
    <w:rsid w:val="00137923"/>
    <w:rsid w:val="00137998"/>
    <w:rsid w:val="0015448F"/>
    <w:rsid w:val="001548D5"/>
    <w:rsid w:val="00164551"/>
    <w:rsid w:val="001753D8"/>
    <w:rsid w:val="0017619C"/>
    <w:rsid w:val="001840D2"/>
    <w:rsid w:val="00187DD5"/>
    <w:rsid w:val="001931D8"/>
    <w:rsid w:val="001966D7"/>
    <w:rsid w:val="001A478E"/>
    <w:rsid w:val="001B7F07"/>
    <w:rsid w:val="001C4D2E"/>
    <w:rsid w:val="001C7E35"/>
    <w:rsid w:val="001D438F"/>
    <w:rsid w:val="001E3C06"/>
    <w:rsid w:val="001F0BE9"/>
    <w:rsid w:val="001F14F9"/>
    <w:rsid w:val="001F44EC"/>
    <w:rsid w:val="00202D79"/>
    <w:rsid w:val="00205D2F"/>
    <w:rsid w:val="00210415"/>
    <w:rsid w:val="002138BE"/>
    <w:rsid w:val="00215E8F"/>
    <w:rsid w:val="00227FA6"/>
    <w:rsid w:val="00231182"/>
    <w:rsid w:val="002478C4"/>
    <w:rsid w:val="00253BB4"/>
    <w:rsid w:val="002548D1"/>
    <w:rsid w:val="00261477"/>
    <w:rsid w:val="0028019B"/>
    <w:rsid w:val="0028164B"/>
    <w:rsid w:val="00290B2A"/>
    <w:rsid w:val="002A0370"/>
    <w:rsid w:val="002A49D2"/>
    <w:rsid w:val="002B54A6"/>
    <w:rsid w:val="002E5E0B"/>
    <w:rsid w:val="002F31B1"/>
    <w:rsid w:val="002F3EE9"/>
    <w:rsid w:val="00306282"/>
    <w:rsid w:val="00306450"/>
    <w:rsid w:val="00306856"/>
    <w:rsid w:val="00315E65"/>
    <w:rsid w:val="00326C38"/>
    <w:rsid w:val="0033091B"/>
    <w:rsid w:val="00333A3B"/>
    <w:rsid w:val="00333FAA"/>
    <w:rsid w:val="003355D7"/>
    <w:rsid w:val="003448A6"/>
    <w:rsid w:val="003532AB"/>
    <w:rsid w:val="003605E7"/>
    <w:rsid w:val="0036201C"/>
    <w:rsid w:val="003628D7"/>
    <w:rsid w:val="00373D62"/>
    <w:rsid w:val="003841B3"/>
    <w:rsid w:val="00391922"/>
    <w:rsid w:val="00395BE1"/>
    <w:rsid w:val="003970B4"/>
    <w:rsid w:val="003B44AD"/>
    <w:rsid w:val="003D609A"/>
    <w:rsid w:val="003E097B"/>
    <w:rsid w:val="003E27E0"/>
    <w:rsid w:val="003E29AC"/>
    <w:rsid w:val="003F2780"/>
    <w:rsid w:val="004076C8"/>
    <w:rsid w:val="00410380"/>
    <w:rsid w:val="00421A4C"/>
    <w:rsid w:val="004317C9"/>
    <w:rsid w:val="00432899"/>
    <w:rsid w:val="004363F7"/>
    <w:rsid w:val="004471CE"/>
    <w:rsid w:val="00454E16"/>
    <w:rsid w:val="00454FBF"/>
    <w:rsid w:val="00457D57"/>
    <w:rsid w:val="00461E22"/>
    <w:rsid w:val="00470F7F"/>
    <w:rsid w:val="00471C1F"/>
    <w:rsid w:val="00480518"/>
    <w:rsid w:val="0048523F"/>
    <w:rsid w:val="004976DB"/>
    <w:rsid w:val="004A76E0"/>
    <w:rsid w:val="004C0246"/>
    <w:rsid w:val="004D2DA0"/>
    <w:rsid w:val="004E14A4"/>
    <w:rsid w:val="004E2620"/>
    <w:rsid w:val="004E72BB"/>
    <w:rsid w:val="004F2F74"/>
    <w:rsid w:val="005354D0"/>
    <w:rsid w:val="0054590F"/>
    <w:rsid w:val="0054613F"/>
    <w:rsid w:val="00566EB8"/>
    <w:rsid w:val="005718B5"/>
    <w:rsid w:val="005808FB"/>
    <w:rsid w:val="005867D6"/>
    <w:rsid w:val="00595267"/>
    <w:rsid w:val="005A0FFD"/>
    <w:rsid w:val="005B17A9"/>
    <w:rsid w:val="005B1B67"/>
    <w:rsid w:val="005B2217"/>
    <w:rsid w:val="005B32A5"/>
    <w:rsid w:val="005B3F67"/>
    <w:rsid w:val="005B7D2C"/>
    <w:rsid w:val="005C22E2"/>
    <w:rsid w:val="005C5E38"/>
    <w:rsid w:val="005D6EF5"/>
    <w:rsid w:val="005D7F38"/>
    <w:rsid w:val="005E2350"/>
    <w:rsid w:val="005E3A10"/>
    <w:rsid w:val="005E7509"/>
    <w:rsid w:val="005F65F4"/>
    <w:rsid w:val="005F737E"/>
    <w:rsid w:val="00610D69"/>
    <w:rsid w:val="006158CB"/>
    <w:rsid w:val="0062246A"/>
    <w:rsid w:val="0062345D"/>
    <w:rsid w:val="00627675"/>
    <w:rsid w:val="00646600"/>
    <w:rsid w:val="00655044"/>
    <w:rsid w:val="00661C20"/>
    <w:rsid w:val="00662C0B"/>
    <w:rsid w:val="00662DEC"/>
    <w:rsid w:val="00670F17"/>
    <w:rsid w:val="00672B4D"/>
    <w:rsid w:val="006816B0"/>
    <w:rsid w:val="00684A84"/>
    <w:rsid w:val="00693072"/>
    <w:rsid w:val="006967C4"/>
    <w:rsid w:val="00696A83"/>
    <w:rsid w:val="006A7CB2"/>
    <w:rsid w:val="006D0A1B"/>
    <w:rsid w:val="006D598A"/>
    <w:rsid w:val="006D68FB"/>
    <w:rsid w:val="006E5E7A"/>
    <w:rsid w:val="006F057C"/>
    <w:rsid w:val="006F22DA"/>
    <w:rsid w:val="006F2EB3"/>
    <w:rsid w:val="006F57C2"/>
    <w:rsid w:val="007010E5"/>
    <w:rsid w:val="00714BEE"/>
    <w:rsid w:val="00721215"/>
    <w:rsid w:val="007420BD"/>
    <w:rsid w:val="007510B9"/>
    <w:rsid w:val="00753FE4"/>
    <w:rsid w:val="00793188"/>
    <w:rsid w:val="007B146D"/>
    <w:rsid w:val="007B23FC"/>
    <w:rsid w:val="007B7A26"/>
    <w:rsid w:val="007C49E5"/>
    <w:rsid w:val="007D0C1D"/>
    <w:rsid w:val="007D4DBF"/>
    <w:rsid w:val="007D6071"/>
    <w:rsid w:val="007E360D"/>
    <w:rsid w:val="007E4732"/>
    <w:rsid w:val="007F004E"/>
    <w:rsid w:val="007F4BDA"/>
    <w:rsid w:val="00812901"/>
    <w:rsid w:val="00815E22"/>
    <w:rsid w:val="00826B9A"/>
    <w:rsid w:val="0085316B"/>
    <w:rsid w:val="00862BA9"/>
    <w:rsid w:val="00862F0E"/>
    <w:rsid w:val="008648EE"/>
    <w:rsid w:val="008915DA"/>
    <w:rsid w:val="008916DC"/>
    <w:rsid w:val="008A0D1E"/>
    <w:rsid w:val="008B2D4F"/>
    <w:rsid w:val="008D49CA"/>
    <w:rsid w:val="008D78F9"/>
    <w:rsid w:val="008E224D"/>
    <w:rsid w:val="0090694C"/>
    <w:rsid w:val="009151D2"/>
    <w:rsid w:val="009248A8"/>
    <w:rsid w:val="009334A0"/>
    <w:rsid w:val="009336D7"/>
    <w:rsid w:val="00955100"/>
    <w:rsid w:val="009620E2"/>
    <w:rsid w:val="00990E9C"/>
    <w:rsid w:val="009B03F9"/>
    <w:rsid w:val="009B160B"/>
    <w:rsid w:val="009D4BC8"/>
    <w:rsid w:val="009D5B8D"/>
    <w:rsid w:val="009E1E3D"/>
    <w:rsid w:val="009F5818"/>
    <w:rsid w:val="009F6126"/>
    <w:rsid w:val="00A01B0A"/>
    <w:rsid w:val="00A20113"/>
    <w:rsid w:val="00A22839"/>
    <w:rsid w:val="00A25419"/>
    <w:rsid w:val="00A3257F"/>
    <w:rsid w:val="00A33185"/>
    <w:rsid w:val="00A41570"/>
    <w:rsid w:val="00A41DB1"/>
    <w:rsid w:val="00A53B04"/>
    <w:rsid w:val="00A601DE"/>
    <w:rsid w:val="00A64DDF"/>
    <w:rsid w:val="00A7271A"/>
    <w:rsid w:val="00A82C85"/>
    <w:rsid w:val="00A84ED1"/>
    <w:rsid w:val="00A951EF"/>
    <w:rsid w:val="00AA280B"/>
    <w:rsid w:val="00AA5479"/>
    <w:rsid w:val="00AB795F"/>
    <w:rsid w:val="00AC6312"/>
    <w:rsid w:val="00B1160D"/>
    <w:rsid w:val="00B14937"/>
    <w:rsid w:val="00B335AC"/>
    <w:rsid w:val="00B4220B"/>
    <w:rsid w:val="00B44F1D"/>
    <w:rsid w:val="00B53EFF"/>
    <w:rsid w:val="00B54AFA"/>
    <w:rsid w:val="00B56DAE"/>
    <w:rsid w:val="00B5714D"/>
    <w:rsid w:val="00B57442"/>
    <w:rsid w:val="00B628D7"/>
    <w:rsid w:val="00B62BA0"/>
    <w:rsid w:val="00B74FD0"/>
    <w:rsid w:val="00B804E8"/>
    <w:rsid w:val="00B91DFC"/>
    <w:rsid w:val="00B96C5E"/>
    <w:rsid w:val="00BA47A1"/>
    <w:rsid w:val="00BB36D9"/>
    <w:rsid w:val="00BC19E9"/>
    <w:rsid w:val="00BC206C"/>
    <w:rsid w:val="00BC3849"/>
    <w:rsid w:val="00BD52B6"/>
    <w:rsid w:val="00BE6010"/>
    <w:rsid w:val="00C01297"/>
    <w:rsid w:val="00C01A35"/>
    <w:rsid w:val="00C57267"/>
    <w:rsid w:val="00C64714"/>
    <w:rsid w:val="00C6497B"/>
    <w:rsid w:val="00C90DB3"/>
    <w:rsid w:val="00C9233F"/>
    <w:rsid w:val="00CB13B8"/>
    <w:rsid w:val="00CE3352"/>
    <w:rsid w:val="00CF0DF4"/>
    <w:rsid w:val="00CF0FC4"/>
    <w:rsid w:val="00CF6932"/>
    <w:rsid w:val="00D15CFA"/>
    <w:rsid w:val="00D27997"/>
    <w:rsid w:val="00D372BF"/>
    <w:rsid w:val="00D37F2F"/>
    <w:rsid w:val="00D4344A"/>
    <w:rsid w:val="00D47AA9"/>
    <w:rsid w:val="00D638A8"/>
    <w:rsid w:val="00D6691F"/>
    <w:rsid w:val="00D71E7C"/>
    <w:rsid w:val="00D72D2D"/>
    <w:rsid w:val="00D835CF"/>
    <w:rsid w:val="00D851C2"/>
    <w:rsid w:val="00D90A37"/>
    <w:rsid w:val="00DA26FB"/>
    <w:rsid w:val="00DB0292"/>
    <w:rsid w:val="00DB6C3D"/>
    <w:rsid w:val="00DC52AC"/>
    <w:rsid w:val="00DC5ACF"/>
    <w:rsid w:val="00DD5CA2"/>
    <w:rsid w:val="00DE6A36"/>
    <w:rsid w:val="00DE71D3"/>
    <w:rsid w:val="00DF08A0"/>
    <w:rsid w:val="00DF0973"/>
    <w:rsid w:val="00E16C05"/>
    <w:rsid w:val="00E21E6B"/>
    <w:rsid w:val="00E23647"/>
    <w:rsid w:val="00E2514F"/>
    <w:rsid w:val="00E6003D"/>
    <w:rsid w:val="00E80B8B"/>
    <w:rsid w:val="00E8313E"/>
    <w:rsid w:val="00E856A8"/>
    <w:rsid w:val="00E86B50"/>
    <w:rsid w:val="00E90107"/>
    <w:rsid w:val="00E90F74"/>
    <w:rsid w:val="00EA3646"/>
    <w:rsid w:val="00EB461A"/>
    <w:rsid w:val="00EB5E57"/>
    <w:rsid w:val="00EB6285"/>
    <w:rsid w:val="00EC2EDC"/>
    <w:rsid w:val="00EC79DE"/>
    <w:rsid w:val="00EF481B"/>
    <w:rsid w:val="00EF488E"/>
    <w:rsid w:val="00EF5EAA"/>
    <w:rsid w:val="00F1434A"/>
    <w:rsid w:val="00F261E7"/>
    <w:rsid w:val="00F50957"/>
    <w:rsid w:val="00F5649A"/>
    <w:rsid w:val="00F56C01"/>
    <w:rsid w:val="00F57CD9"/>
    <w:rsid w:val="00F75BA1"/>
    <w:rsid w:val="00F82342"/>
    <w:rsid w:val="00F827BC"/>
    <w:rsid w:val="00F84AA2"/>
    <w:rsid w:val="00F91AE4"/>
    <w:rsid w:val="00FA1D36"/>
    <w:rsid w:val="00FB1231"/>
    <w:rsid w:val="00FB14CA"/>
    <w:rsid w:val="00FB51BC"/>
    <w:rsid w:val="00FC5633"/>
    <w:rsid w:val="00FD4E79"/>
    <w:rsid w:val="00FD7075"/>
    <w:rsid w:val="00FE17E2"/>
    <w:rsid w:val="00FF2D76"/>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5D7F38"/>
    <w:pPr>
      <w:spacing w:after="160" w:line="240" w:lineRule="exact"/>
    </w:pPr>
    <w:rPr>
      <w:rFonts w:ascii="Verdana" w:hAnsi="Verdana"/>
      <w:sz w:val="20"/>
      <w:lang w:val="en-US"/>
    </w:rPr>
  </w:style>
  <w:style w:type="paragraph" w:styleId="PlainText">
    <w:name w:val="Plain Text"/>
    <w:basedOn w:val="Normal"/>
    <w:link w:val="PlainTextChar"/>
    <w:uiPriority w:val="99"/>
    <w:unhideWhenUsed/>
    <w:rsid w:val="00BC38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3849"/>
    <w:rPr>
      <w:rFonts w:ascii="Calibri" w:eastAsiaTheme="minorHAnsi" w:hAnsi="Calibri" w:cstheme="minorBidi"/>
      <w:sz w:val="22"/>
      <w:szCs w:val="21"/>
      <w:lang w:eastAsia="en-US"/>
    </w:rPr>
  </w:style>
  <w:style w:type="table" w:customStyle="1" w:styleId="TableGrid1">
    <w:name w:val="Table Grid1"/>
    <w:basedOn w:val="TableNormal"/>
    <w:next w:val="TableGrid"/>
    <w:uiPriority w:val="59"/>
    <w:rsid w:val="001A47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000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5D7F38"/>
    <w:pPr>
      <w:spacing w:after="160" w:line="240" w:lineRule="exact"/>
    </w:pPr>
    <w:rPr>
      <w:rFonts w:ascii="Verdana" w:hAnsi="Verdana"/>
      <w:sz w:val="20"/>
      <w:lang w:val="en-US"/>
    </w:rPr>
  </w:style>
  <w:style w:type="paragraph" w:styleId="PlainText">
    <w:name w:val="Plain Text"/>
    <w:basedOn w:val="Normal"/>
    <w:link w:val="PlainTextChar"/>
    <w:uiPriority w:val="99"/>
    <w:unhideWhenUsed/>
    <w:rsid w:val="00BC38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3849"/>
    <w:rPr>
      <w:rFonts w:ascii="Calibri" w:eastAsiaTheme="minorHAnsi" w:hAnsi="Calibri" w:cstheme="minorBidi"/>
      <w:sz w:val="22"/>
      <w:szCs w:val="21"/>
      <w:lang w:eastAsia="en-US"/>
    </w:rPr>
  </w:style>
  <w:style w:type="table" w:customStyle="1" w:styleId="TableGrid1">
    <w:name w:val="Table Grid1"/>
    <w:basedOn w:val="TableNormal"/>
    <w:next w:val="TableGrid"/>
    <w:uiPriority w:val="59"/>
    <w:rsid w:val="001A47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00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152069534">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76832359">
      <w:bodyDiv w:val="1"/>
      <w:marLeft w:val="0"/>
      <w:marRight w:val="0"/>
      <w:marTop w:val="0"/>
      <w:marBottom w:val="0"/>
      <w:divBdr>
        <w:top w:val="none" w:sz="0" w:space="0" w:color="auto"/>
        <w:left w:val="none" w:sz="0" w:space="0" w:color="auto"/>
        <w:bottom w:val="none" w:sz="0" w:space="0" w:color="auto"/>
        <w:right w:val="none" w:sz="0" w:space="0" w:color="auto"/>
      </w:divBdr>
    </w:div>
    <w:div w:id="396126978">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484712526">
      <w:bodyDiv w:val="1"/>
      <w:marLeft w:val="0"/>
      <w:marRight w:val="0"/>
      <w:marTop w:val="0"/>
      <w:marBottom w:val="0"/>
      <w:divBdr>
        <w:top w:val="none" w:sz="0" w:space="0" w:color="auto"/>
        <w:left w:val="none" w:sz="0" w:space="0" w:color="auto"/>
        <w:bottom w:val="none" w:sz="0" w:space="0" w:color="auto"/>
        <w:right w:val="none" w:sz="0" w:space="0" w:color="auto"/>
      </w:divBdr>
    </w:div>
    <w:div w:id="587420288">
      <w:bodyDiv w:val="1"/>
      <w:marLeft w:val="0"/>
      <w:marRight w:val="0"/>
      <w:marTop w:val="0"/>
      <w:marBottom w:val="0"/>
      <w:divBdr>
        <w:top w:val="none" w:sz="0" w:space="0" w:color="auto"/>
        <w:left w:val="none" w:sz="0" w:space="0" w:color="auto"/>
        <w:bottom w:val="none" w:sz="0" w:space="0" w:color="auto"/>
        <w:right w:val="none" w:sz="0" w:space="0" w:color="auto"/>
      </w:divBdr>
    </w:div>
    <w:div w:id="74260879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5850084">
      <w:bodyDiv w:val="1"/>
      <w:marLeft w:val="0"/>
      <w:marRight w:val="0"/>
      <w:marTop w:val="0"/>
      <w:marBottom w:val="0"/>
      <w:divBdr>
        <w:top w:val="none" w:sz="0" w:space="0" w:color="auto"/>
        <w:left w:val="none" w:sz="0" w:space="0" w:color="auto"/>
        <w:bottom w:val="none" w:sz="0" w:space="0" w:color="auto"/>
        <w:right w:val="none" w:sz="0" w:space="0" w:color="auto"/>
      </w:divBdr>
    </w:div>
    <w:div w:id="79287243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81692319">
      <w:bodyDiv w:val="1"/>
      <w:marLeft w:val="0"/>
      <w:marRight w:val="0"/>
      <w:marTop w:val="0"/>
      <w:marBottom w:val="0"/>
      <w:divBdr>
        <w:top w:val="none" w:sz="0" w:space="0" w:color="auto"/>
        <w:left w:val="none" w:sz="0" w:space="0" w:color="auto"/>
        <w:bottom w:val="none" w:sz="0" w:space="0" w:color="auto"/>
        <w:right w:val="none" w:sz="0" w:space="0" w:color="auto"/>
      </w:divBdr>
    </w:div>
    <w:div w:id="990061849">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93630823">
      <w:bodyDiv w:val="1"/>
      <w:marLeft w:val="0"/>
      <w:marRight w:val="0"/>
      <w:marTop w:val="0"/>
      <w:marBottom w:val="0"/>
      <w:divBdr>
        <w:top w:val="none" w:sz="0" w:space="0" w:color="auto"/>
        <w:left w:val="none" w:sz="0" w:space="0" w:color="auto"/>
        <w:bottom w:val="none" w:sz="0" w:space="0" w:color="auto"/>
        <w:right w:val="none" w:sz="0" w:space="0" w:color="auto"/>
      </w:divBdr>
    </w:div>
    <w:div w:id="1339887017">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883860321">
      <w:bodyDiv w:val="1"/>
      <w:marLeft w:val="0"/>
      <w:marRight w:val="0"/>
      <w:marTop w:val="0"/>
      <w:marBottom w:val="0"/>
      <w:divBdr>
        <w:top w:val="none" w:sz="0" w:space="0" w:color="auto"/>
        <w:left w:val="none" w:sz="0" w:space="0" w:color="auto"/>
        <w:bottom w:val="none" w:sz="0" w:space="0" w:color="auto"/>
        <w:right w:val="none" w:sz="0" w:space="0" w:color="auto"/>
      </w:divBdr>
    </w:div>
    <w:div w:id="1921601003">
      <w:bodyDiv w:val="1"/>
      <w:marLeft w:val="0"/>
      <w:marRight w:val="0"/>
      <w:marTop w:val="0"/>
      <w:marBottom w:val="0"/>
      <w:divBdr>
        <w:top w:val="none" w:sz="0" w:space="0" w:color="auto"/>
        <w:left w:val="none" w:sz="0" w:space="0" w:color="auto"/>
        <w:bottom w:val="none" w:sz="0" w:space="0" w:color="auto"/>
        <w:right w:val="none" w:sz="0" w:space="0" w:color="auto"/>
      </w:divBdr>
    </w:div>
    <w:div w:id="2059431027">
      <w:bodyDiv w:val="1"/>
      <w:marLeft w:val="0"/>
      <w:marRight w:val="0"/>
      <w:marTop w:val="0"/>
      <w:marBottom w:val="0"/>
      <w:divBdr>
        <w:top w:val="none" w:sz="0" w:space="0" w:color="auto"/>
        <w:left w:val="none" w:sz="0" w:space="0" w:color="auto"/>
        <w:bottom w:val="none" w:sz="0" w:space="0" w:color="auto"/>
        <w:right w:val="none" w:sz="0" w:space="0" w:color="auto"/>
      </w:divBdr>
    </w:div>
    <w:div w:id="21154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harrow.gov.uk/www2/ieListDocuments.aspx?CId=1041&amp;MId=64184&amp;Ver=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harrow.gov.uk/www2/documents/g64184/Public%20reports%20pack%20Tuesday%2014-Nov-2017%2019.30%20Major%20Developments%20Panel.pdf?T=10" TargetMode="External"/><Relationship Id="rId2" Type="http://schemas.openxmlformats.org/officeDocument/2006/relationships/numbering" Target="numbering.xml"/><Relationship Id="rId16" Type="http://schemas.openxmlformats.org/officeDocument/2006/relationships/hyperlink" Target="http://www.harrow.gov.uk/www2/ieListDocuments.aspx?CId=249&amp;MId=64137&amp;Ver=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arrow.gov.uk/www2/documents/g64137/Public%20reports%20pack%20Thursday%2007-Dec-2017%2018.30%20Cabinet.pdf?T=10"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harrow.gov.uk/www2/documents/s147977/CIL%20Allocations%20-%20November%202017%20Major%20Developments%20Panel%20FIN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aron.daniels@harrow.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09B6-6B87-4941-B17E-89DF9E7A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17</Pages>
  <Words>4970</Words>
  <Characters>27193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32099</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dghelani</cp:lastModifiedBy>
  <cp:revision>17</cp:revision>
  <cp:lastPrinted>2018-02-02T10:25:00Z</cp:lastPrinted>
  <dcterms:created xsi:type="dcterms:W3CDTF">2018-01-17T16:14:00Z</dcterms:created>
  <dcterms:modified xsi:type="dcterms:W3CDTF">2018-02-07T12:14:00Z</dcterms:modified>
</cp:coreProperties>
</file>